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d90bd610745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2161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63</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31</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2161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Fey and Fitzgibbon)</w:t>
      </w:r>
    </w:p>
    <w:p/>
    <w:p>
      <w:r>
        <w:rPr>
          <w:t xml:space="preserve">READ FIRST TIME 04/09/19.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concerning ferry vessel procurement; amending RCW 47.60.810 and 47.60.315; and adding a new section to chapter 47.60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2015 3rd sp.s. c 14 s 3 are each amended to read as follows:</w:t>
      </w:r>
    </w:p>
    <w:p>
      <w:pPr>
        <w:spacing w:before="0" w:after="0" w:line="408" w:lineRule="exact"/>
        <w:ind w:left="0" w:right="0" w:firstLine="576"/>
        <w:jc w:val="left"/>
      </w:pPr>
      <w:r>
        <w:rPr/>
        <w:t xml:space="preserve">(1) The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(3) of this section.</w:t>
      </w:r>
    </w:p>
    <w:p>
      <w:pPr>
        <w:spacing w:before="0" w:after="0" w:line="408" w:lineRule="exact"/>
        <w:ind w:left="0" w:right="0" w:firstLine="576"/>
        <w:jc w:val="left"/>
      </w:pPr>
      <w:r>
        <w:rPr/>
        <w:t xml:space="preserve">(2) 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0" w:after="0" w:line="408" w:lineRule="exact"/>
        <w:ind w:left="0" w:right="0" w:firstLine="576"/>
        <w:jc w:val="left"/>
      </w:pPr>
      <w:r>
        <w:rPr>
          <w:u w:val="single"/>
        </w:rPr>
        <w:t xml:space="preserve">(4) The department may modify an existing option contract executed prior to July 6, 2015, to allow for the purchase of up to five additional 144-auto ferries, for a total of nine 144-auto ferries. The department must execute a new modification to an existing option contract for each of the additional five ferries.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To increase small business participation in ferry vessel procurement, the Washington state department of transportation's office of equal opportunity shall develop and monitor a state small business enterprise enforceable goals program. Pursuant to this program, the office shall establish contract goals for ferry vessel procurement. The contract goal is defined as a percentage of the contract award amount that the prime contractor must meet by subcontracting with small business enterprises. The enforceable goal for all ferry vessel procurement contracts will be set by the office. Prime contractors unable to meet the enforceable goal must submit evidence of good faith efforts to meet the contract goal to the small business enterprise enforceable goals program.</w:t>
      </w:r>
    </w:p>
    <w:p>
      <w:pPr>
        <w:spacing w:before="0" w:after="0" w:line="408" w:lineRule="exact"/>
        <w:ind w:left="0" w:right="0" w:firstLine="576"/>
        <w:jc w:val="left"/>
      </w:pPr>
      <w:r>
        <w:rPr/>
        <w:t xml:space="preserve">(2) Small business enterprises intending to benefit from the small business enterprise enforceable goals program established in subsection (1) of this section must meet the definition of "small business" in RCW 39.26.010. Prime contractors will enter all subcontractor payments into the office's diversity management and compliance system. The office of equal opportunity shall monitor program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2011 1st sp.s. c 16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u w:val="single"/>
        </w:rPr>
        <w:t xml:space="preserve">(8) Except as provided in subsection (10) of this section, beginning May 1, 2020, the commission shall impose an additional vessel replacement surcharge in an amount sufficient to fund twenty-five year debt service on one 144-auto hybrid vessel taking into account funds provided in chapter . . . (HB 1789),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 site.</w:t>
      </w:r>
    </w:p>
    <w:p>
      <w:pPr>
        <w:spacing w:before="0" w:after="0" w:line="408" w:lineRule="exact"/>
        <w:ind w:left="0" w:right="0" w:firstLine="576"/>
        <w:jc w:val="left"/>
      </w:pPr>
      <w:r>
        <w:rPr>
          <w:u w:val="single"/>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u w:val="single"/>
        </w:rPr>
        <w:t xml:space="preserve">(10) The commission shall not impose the additional vessel replacement surcharge in subsection (8) of this section if doing so would increase fares by more than ten percent.</w:t>
      </w:r>
    </w:p>
    <w:p/>
    <w:p>
      <w:pPr>
        <w:jc w:val="center"/>
      </w:pPr>
      <w:r>
        <w:rPr>
          <w:b/>
        </w:rPr>
        <w:t>--- END ---</w:t>
      </w:r>
    </w:p>
    <w:sectPr>
      <w:pgNumType w:start="1"/>
      <w:footerReference xmlns:r="http://schemas.openxmlformats.org/officeDocument/2006/relationships" r:id="R6d1c6cf7fc3e45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22325dda754503" /><Relationship Type="http://schemas.openxmlformats.org/officeDocument/2006/relationships/footer" Target="/word/footer1.xml" Id="R6d1c6cf7fc3e45e9" /></Relationships>
</file>