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8bef7e00a46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2421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42</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Tarleton, Pollet,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29A.64.081, and 29A.32.210;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u w:val="single"/>
        </w:rPr>
        <w:t xml:space="preserve">(1)</w:t>
      </w:r>
      <w:r>
        <w:rPr/>
        <w:t xml:space="preserve"> 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0" w:after="0" w:line="408" w:lineRule="exact"/>
        <w:ind w:left="0" w:right="0" w:firstLine="576"/>
        <w:jc w:val="left"/>
      </w:pPr>
      <w:r>
        <w:rPr>
          <w:u w:val="single"/>
        </w:rPr>
        <w:t xml:space="preserve">(2) Funding provided in this section to counties for election costs in even-numbered years is retrospective and prospective reimbursement under RCW 43.135.060 for any new or increased responsibilities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b12299af6e734d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69f87f2e84bd6" /><Relationship Type="http://schemas.openxmlformats.org/officeDocument/2006/relationships/footer" Target="/word/footer1.xml" Id="Rb12299af6e734dd6" /></Relationships>
</file>