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1b1773890d48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2607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2607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Callan, Corry, Caldier, Eslick, Orwall, Entenman, Davis, Shewmake, Lekanoff, Thai, Chapman, Steele, Fey, Chopp, Robinson, Bergquist, Senn, Cody, Doglio, Goodman, Leavitt, Ramel, Santos, Ormsby, Pollet, Kloba, and Macri)</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homeless individuals in obtaining Washington state identicards; amending RCW 46.20.117; adding a new section to chapter 43.216 RCW; and adding a new section to chapter 46.20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assist licensed or contracted providers in following the process established under section 3 of this act for providers submitting Washington state identicard application materials for individuals qualifying for a Washington state identicard under RCW 46.20.117(1)(c)(ii).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2018 c 157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w:t>
      </w:r>
      <w:r>
        <w:t>((</w:t>
      </w:r>
      <w:r>
        <w:rPr>
          <w:strike/>
        </w:rPr>
        <w:t xml:space="preserve">eighteen</w:t>
      </w:r>
      <w:r>
        <w:t>))</w:t>
      </w:r>
      <w:r>
        <w:rPr/>
        <w:t xml:space="preserve"> </w:t>
      </w:r>
      <w:r>
        <w:rPr>
          <w:u w:val="single"/>
        </w:rPr>
        <w:t xml:space="preserve">twenty-five</w:t>
      </w:r>
      <w:r>
        <w:rPr/>
        <w:t xml:space="preser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develop in consultation with the department of children, youth, and families, the office of the superintendent of public instruction, and the office of homeless youth prevention and protection programs:</w:t>
      </w:r>
    </w:p>
    <w:p>
      <w:pPr>
        <w:spacing w:before="0" w:after="0" w:line="408" w:lineRule="exact"/>
        <w:ind w:left="0" w:right="0" w:firstLine="576"/>
        <w:jc w:val="left"/>
      </w:pPr>
      <w:r>
        <w:rPr/>
        <w:t xml:space="preserve">(a) Other forms of identification that could be used for individuals qualifying for a Washington state identicard under RCW 46.20.117(1)(c)(ii) that meet the alternative documentation requirements of the department under RCW 46.20.035; and</w:t>
      </w:r>
    </w:p>
    <w:p>
      <w:pPr>
        <w:spacing w:before="0" w:after="0" w:line="408" w:lineRule="exact"/>
        <w:ind w:left="0" w:right="0" w:firstLine="576"/>
        <w:jc w:val="left"/>
      </w:pPr>
      <w:r>
        <w:rPr/>
        <w:t xml:space="preserve">(b) A process for entities listed under subsection (2) of this section to submit Washington state identicard application materials for individuals qualifying for a Washington state identicard under RCW 46.20.117(1)(c)(ii).</w:t>
      </w:r>
    </w:p>
    <w:p>
      <w:pPr>
        <w:spacing w:before="0" w:after="0" w:line="408" w:lineRule="exact"/>
        <w:ind w:left="0" w:right="0" w:firstLine="576"/>
        <w:jc w:val="left"/>
      </w:pPr>
      <w:r>
        <w:rPr/>
        <w:t xml:space="preserve">(2) The department shall accept Washington state identicard application materials for individuals qualifying for a Washington state identicard under RCW 46.20.117(1)(c)(ii) from:</w:t>
      </w:r>
    </w:p>
    <w:p>
      <w:pPr>
        <w:spacing w:before="0" w:after="0" w:line="408" w:lineRule="exact"/>
        <w:ind w:left="0" w:right="0" w:firstLine="576"/>
        <w:jc w:val="left"/>
      </w:pPr>
      <w:r>
        <w:rPr/>
        <w:t xml:space="preserve">(a) Individuals or entities licensed by the department of children, youth, and families;</w:t>
      </w:r>
    </w:p>
    <w:p>
      <w:pPr>
        <w:spacing w:before="0" w:after="0" w:line="408" w:lineRule="exact"/>
        <w:ind w:left="0" w:right="0" w:firstLine="576"/>
        <w:jc w:val="left"/>
      </w:pPr>
      <w:r>
        <w:rPr/>
        <w:t xml:space="preserve">(b) Individuals or entities contracted to provide services by the department of children, youth, and families;</w:t>
      </w:r>
    </w:p>
    <w:p>
      <w:pPr>
        <w:spacing w:before="0" w:after="0" w:line="408" w:lineRule="exact"/>
        <w:ind w:left="0" w:right="0" w:firstLine="576"/>
        <w:jc w:val="left"/>
      </w:pPr>
      <w:r>
        <w:rPr/>
        <w:t xml:space="preserve">(c) Individual schools or school districts; and</w:t>
      </w:r>
    </w:p>
    <w:p>
      <w:pPr>
        <w:spacing w:before="0" w:after="0" w:line="408" w:lineRule="exact"/>
        <w:ind w:left="0" w:right="0" w:firstLine="576"/>
        <w:jc w:val="left"/>
      </w:pPr>
      <w:r>
        <w:rPr/>
        <w:t xml:space="preserve">(d) Individuals and entities contracted to provide services by the office of homeless youth prevention and protection programs.</w:t>
      </w:r>
    </w:p>
    <w:p/>
    <w:p>
      <w:pPr>
        <w:jc w:val="center"/>
      </w:pPr>
      <w:r>
        <w:rPr>
          <w:b/>
        </w:rPr>
        <w:t>--- END ---</w:t>
      </w:r>
    </w:p>
    <w:sectPr>
      <w:pgNumType w:start="1"/>
      <w:footerReference xmlns:r="http://schemas.openxmlformats.org/officeDocument/2006/relationships" r:id="Rb2470ef63a8945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854735e6ce483d" /><Relationship Type="http://schemas.openxmlformats.org/officeDocument/2006/relationships/footer" Target="/word/footer1.xml" Id="Rb2470ef63a894575" /></Relationships>
</file>