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528b2a79894d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2943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2943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2943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Robinson, Chapman, and Tharinger</w:t>
      </w:r>
    </w:p>
    <w:p/>
    <w:p>
      <w:r>
        <w:rPr>
          <w:t xml:space="preserve">Read first time 02/18/20.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preference for behavioral health administrative services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reducing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substance use disorder treatment services under a government-funded program.</w:t>
      </w:r>
    </w:p>
    <w:p>
      <w:pPr>
        <w:spacing w:before="0" w:after="0" w:line="408" w:lineRule="exact"/>
        <w:ind w:left="0" w:right="0" w:firstLine="576"/>
        <w:jc w:val="left"/>
      </w:pPr>
      <w:r>
        <w:rPr/>
        <w:t xml:space="preserve">(2) A behavioral health administrative services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"Behavioral health administrative services organization" has the same meaning as provided in RCW 71.24.025.</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means mental health services as described in chapter 71.24 RCW.</w:t>
      </w:r>
    </w:p>
    <w:p>
      <w:pPr>
        <w:spacing w:before="0" w:after="0" w:line="408" w:lineRule="exact"/>
        <w:ind w:left="0" w:right="0" w:firstLine="576"/>
        <w:jc w:val="left"/>
      </w:pPr>
      <w:r>
        <w:rPr/>
        <w:t xml:space="preserve">(d) "Substance use disorder treatment services" means substance use disorder treatment services as described in chapter 71.24 RCW.</w:t>
      </w:r>
    </w:p>
    <w:p>
      <w:pPr>
        <w:spacing w:before="0" w:after="0" w:line="408" w:lineRule="exact"/>
        <w:ind w:left="0" w:right="0" w:firstLine="576"/>
        <w:jc w:val="left"/>
      </w:pPr>
      <w:r>
        <w:rPr/>
        <w:t xml:space="preserve">(5)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8a6f1707af82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d4883bd2d4712" /><Relationship Type="http://schemas.openxmlformats.org/officeDocument/2006/relationships/footer" Target="/word/footer1.xml" Id="R8a6f1707af824330" /></Relationships>
</file>