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fb54fe0e249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Frockt, Carlyle, Palumbo, Wellman, Pedersen, Keiser, Saldaña, Mullet, and O'Ban)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amending RCW 7.94.010, 7.94.030, 7.94.040, 7.94.060, and 7.94.150;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010</w:t>
      </w:r>
      <w:r>
        <w:rPr/>
        <w:t xml:space="preserve"> and 2017 c 3 s 1 are each amended to read as follows:</w:t>
      </w:r>
    </w:p>
    <w:p>
      <w:pPr>
        <w:spacing w:before="0" w:after="0" w:line="408" w:lineRule="exact"/>
        <w:ind w:left="0" w:right="0" w:firstLine="576"/>
        <w:jc w:val="left"/>
      </w:pPr>
      <w:r>
        <w:rPr/>
        <w:t xml:space="preserve">(1) Chapter 3, Laws of 2017 is designed to temporarily prevent individuals who are at high risk of harming themselves or others from accessing firearms by allowing family, household members, and police to obtain a court order when there is demonstrated evidence that the person poses a significant danger, including danger as a result of </w:t>
      </w:r>
      <w:r>
        <w:t>((</w:t>
      </w:r>
      <w:r>
        <w:rPr>
          <w:strike/>
        </w:rPr>
        <w:t xml:space="preserve">a dangerous mental health crisis</w:t>
      </w:r>
      <w:r>
        <w:t>))</w:t>
      </w:r>
      <w:r>
        <w:rPr/>
        <w:t xml:space="preserve"> </w:t>
      </w:r>
      <w:r>
        <w:rPr>
          <w:u w:val="single"/>
        </w:rPr>
        <w:t xml:space="preserve">threatening</w:t>
      </w:r>
      <w:r>
        <w:rPr/>
        <w:t xml:space="preserve"> or violent behavior.</w:t>
      </w:r>
    </w:p>
    <w:p>
      <w:pPr>
        <w:spacing w:before="0" w:after="0" w:line="408" w:lineRule="exact"/>
        <w:ind w:left="0" w:right="0" w:firstLine="576"/>
        <w:jc w:val="left"/>
      </w:pPr>
      <w:r>
        <w:rPr/>
        <w:t xml:space="preserve">(2) Every year, over one hundred thousand people are victims of gunshot wounds and more than thirty thousand of those victims lose their lives. Over the last five years for which data is available, one hundred sixty-four thousand eight hundred twenty-one people in America were killed with firearms</w:t>
      </w:r>
      <w:r>
        <w:rPr>
          <w:rFonts w:ascii="Times New Roman" w:hAnsi="Times New Roman"/>
        </w:rPr>
        <w:t xml:space="preserve">—</w:t>
      </w:r>
      <w:r>
        <w:rPr/>
        <w:t xml:space="preserve">an average of ninety-one deaths each day.</w:t>
      </w:r>
    </w:p>
    <w:p>
      <w:pPr>
        <w:spacing w:before="0" w:after="0" w:line="408" w:lineRule="exact"/>
        <w:ind w:left="0" w:right="0" w:firstLine="576"/>
        <w:jc w:val="left"/>
      </w:pPr>
      <w:r>
        <w:rPr/>
        <w:t xml:space="preserve">(3)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w:t>
      </w:r>
    </w:p>
    <w:p>
      <w:pPr>
        <w:spacing w:before="0" w:after="0" w:line="408" w:lineRule="exact"/>
        <w:ind w:left="0" w:right="0" w:firstLine="576"/>
        <w:jc w:val="left"/>
      </w:pPr>
      <w:r>
        <w:rPr/>
        <w:t xml:space="preserve">(4) Individuals who pose a danger to themselves or others often exhibit signs that alert family, household members, or law enforcement to the threat. Many mass shooters displayed warning signs prior to their killings, but federal and state laws provided no clear legal process to suspend the shooters' access to guns, even temporarily.</w:t>
      </w:r>
    </w:p>
    <w:p>
      <w:pPr>
        <w:spacing w:before="0" w:after="0" w:line="408" w:lineRule="exact"/>
        <w:ind w:left="0" w:right="0" w:firstLine="576"/>
        <w:jc w:val="left"/>
      </w:pPr>
      <w:r>
        <w:rPr/>
        <w:t xml:space="preserve">(5) In enacting </w:t>
      </w:r>
      <w:r>
        <w:t>((</w:t>
      </w:r>
      <w:r>
        <w:rPr>
          <w:strike/>
        </w:rPr>
        <w:t xml:space="preserve">this initiative [chapter 3, Laws of 2017]</w:t>
      </w:r>
      <w:r>
        <w:t>))</w:t>
      </w:r>
      <w:r>
        <w:rPr/>
        <w:t xml:space="preserve"> </w:t>
      </w:r>
      <w:r>
        <w:rPr>
          <w:u w:val="single"/>
        </w:rPr>
        <w:t xml:space="preserve">chapter 3, Laws of 2017</w:t>
      </w:r>
      <w:r>
        <w:rPr/>
        <w:t xml:space="preserve">, it is the purpose and intent of the people to reduce gun deaths and injuries, while respecting constitutional rights, by providing a court procedure for family, household members, and law enforcement to obtain an order temporarily restricting a person's access to firearms. Court orders are intended to be limited to situations in which the person poses a significant danger of harming themselves or others by possessing a firearm and include standards and safeguards to protect the rights of respondents and due process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w:t>
      </w:r>
      <w:r>
        <w:t>((</w:t>
      </w:r>
      <w:r>
        <w:rPr>
          <w:strike/>
        </w:rPr>
        <w:t xml:space="preserve">mental</w:t>
      </w:r>
      <w:r>
        <w:t>))</w:t>
      </w:r>
      <w:r>
        <w:rPr/>
        <w:t xml:space="preserve"> </w:t>
      </w:r>
      <w:r>
        <w:rPr>
          <w:u w:val="single"/>
        </w:rPr>
        <w:t xml:space="preserve">behavioral</w:t>
      </w:r>
      <w:r>
        <w:rPr/>
        <w:t xml:space="preserve">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(12)(a) Any person restrained by an extreme risk protection order against a respondent under the age of eighteen may petition the court to have the court records sealed from public view at the time of issuance of the full order, at any time during the life of the order, or at any time after its expiration.</w:t>
      </w:r>
    </w:p>
    <w:p>
      <w:pPr>
        <w:spacing w:before="0" w:after="0" w:line="408" w:lineRule="exact"/>
        <w:ind w:left="0" w:right="0" w:firstLine="576"/>
        <w:jc w:val="left"/>
      </w:pPr>
      <w:r>
        <w:rPr>
          <w:u w:val="single"/>
        </w:rPr>
        <w:t xml:space="preserve">(b) The court shall seal the court records from public view if there are no other active protection orders against the restrained party, no pending violations of the order, and evidence of full compliance with the relinquishment of firearms as ordered by the extreme risk protection order.</w:t>
      </w:r>
    </w:p>
    <w:p>
      <w:pPr>
        <w:spacing w:before="0" w:after="0" w:line="408" w:lineRule="exact"/>
        <w:ind w:left="0" w:right="0" w:firstLine="576"/>
        <w:jc w:val="left"/>
      </w:pPr>
      <w:r>
        <w:rPr>
          <w:u w:val="single"/>
        </w:rPr>
        <w:t xml:space="preserve">(c) Nothing in this subsection changes the requirement for the order to be entered into and maintained in computer-based systems as required in RCW 7.94.110.</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The respondent's ownership, access to, or intent to possess firearms;</w:t>
      </w:r>
    </w:p>
    <w:p>
      <w:pPr>
        <w:spacing w:before="0" w:after="0" w:line="408" w:lineRule="exact"/>
        <w:ind w:left="0" w:right="0" w:firstLine="576"/>
        <w:jc w:val="left"/>
      </w:pPr>
      <w:r>
        <w:rPr/>
        <w:t xml:space="preserve">(i) The unlawful or reckless use, display, or brandishing of a firearm by the respondent;</w:t>
      </w:r>
    </w:p>
    <w:p>
      <w:pPr>
        <w:spacing w:before="0" w:after="0" w:line="408" w:lineRule="exact"/>
        <w:ind w:left="0" w:right="0" w:firstLine="576"/>
        <w:jc w:val="left"/>
      </w:pPr>
      <w:r>
        <w:rPr/>
        <w:t xml:space="preserve">(j)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(k) Any prior arrest of the respondent for a felony offense or violent crime;</w:t>
      </w:r>
    </w:p>
    <w:p>
      <w:pPr>
        <w:spacing w:before="0" w:after="0" w:line="408" w:lineRule="exact"/>
        <w:ind w:left="0" w:right="0" w:firstLine="576"/>
        <w:jc w:val="left"/>
      </w:pPr>
      <w:r>
        <w:rPr/>
        <w:t xml:space="preserve">(l) Corroborated evidence of the abuse of controlled substances or alcohol by the respondent; and</w:t>
      </w:r>
    </w:p>
    <w:p>
      <w:pPr>
        <w:spacing w:before="0" w:after="0" w:line="408" w:lineRule="exact"/>
        <w:ind w:left="0" w:right="0" w:firstLine="576"/>
        <w:jc w:val="left"/>
      </w:pPr>
      <w:r>
        <w:rPr/>
        <w:t xml:space="preserve">(m)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w:t>
      </w:r>
    </w:p>
    <w:p>
      <w:pPr>
        <w:spacing w:before="0" w:after="0" w:line="408" w:lineRule="exact"/>
        <w:ind w:left="0" w:right="0" w:firstLine="576"/>
        <w:jc w:val="left"/>
      </w:pPr>
      <w:r>
        <w:rPr>
          <w:u w:val="single"/>
        </w:rPr>
        <w:t xml:space="preserve">(b) The court shall advise the parent or guardian in writing of the legal obligation to safely secure any firearm on the premises and the potential for criminal prosecution if a prohibited person were to obtain access to the firearm as provided in RCW 9.41.360.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150</w:t>
      </w:r>
      <w:r>
        <w:rPr/>
        <w:t xml:space="preserve"> and 2017 c 3 s 16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standard petitions and extreme risk protection order forms, and a court staff handbook on the extreme risk protection order process. The standard petition and order forms must be used after June 1, 2017, for all petitions filed and orders issued under this chapter. The instructions, brochures, forms, and handbook shall be prepared in consultation with interested persons, including representatives of gun violence prevention groups, judges, and law enforcement personnel. Materials must be based on best practices and available electronically online to the public.</w:t>
      </w:r>
    </w:p>
    <w:p>
      <w:pPr>
        <w:spacing w:before="0" w:after="0" w:line="408" w:lineRule="exact"/>
        <w:ind w:left="0" w:right="0" w:firstLine="576"/>
        <w:jc w:val="left"/>
      </w:pPr>
      <w:r>
        <w:rPr/>
        <w:t xml:space="preserve">(a) The instructions must be designed to assist petitioners in completing the petition, and must include a sample of a standard petition and order for protection forms.</w:t>
      </w:r>
    </w:p>
    <w:p>
      <w:pPr>
        <w:spacing w:before="0" w:after="0" w:line="408" w:lineRule="exact"/>
        <w:ind w:left="0" w:right="0" w:firstLine="576"/>
        <w:jc w:val="left"/>
      </w:pPr>
      <w:r>
        <w:rPr/>
        <w:t xml:space="preserve">(b) The instructions and standard petition must include a means for the petitioner to identify, with only lay knowledge, the firearms the respondent may own, </w:t>
      </w:r>
      <w:r>
        <w:t>((</w:t>
      </w:r>
      <w:r>
        <w:rPr>
          <w:strike/>
        </w:rPr>
        <w:t xml:space="preserve">possesses [possess]</w:t>
      </w:r>
      <w:r>
        <w:t>))</w:t>
      </w:r>
      <w:r>
        <w:rPr/>
        <w:t xml:space="preserve"> </w:t>
      </w:r>
      <w:r>
        <w:rPr>
          <w:u w:val="single"/>
        </w:rPr>
        <w:t xml:space="preserve">possess</w:t>
      </w:r>
      <w:r>
        <w:rPr/>
        <w:t xml:space="preserve">, receive, or have in his or her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w:t>
      </w:r>
    </w:p>
    <w:p>
      <w:pPr>
        <w:spacing w:before="0" w:after="0" w:line="408" w:lineRule="exact"/>
        <w:ind w:left="0" w:right="0" w:firstLine="576"/>
        <w:jc w:val="left"/>
      </w:pPr>
      <w:r>
        <w:rPr/>
        <w:t xml:space="preserve">(c) The informational brochure must describe the use of and the process for obtaining, modifying, and terminating an extreme risk protection order under this chapter, and provide relevant forms.</w:t>
      </w:r>
    </w:p>
    <w:p>
      <w:pPr>
        <w:spacing w:before="0" w:after="0" w:line="408" w:lineRule="exact"/>
        <w:ind w:left="0" w:right="0" w:firstLine="576"/>
        <w:jc w:val="left"/>
      </w:pPr>
      <w:r>
        <w:rPr/>
        <w:t xml:space="preserve">(d) The extreme risk protection order form must include, in a conspicuous location, notice of criminal penalties resulting from violation of the order, and the following statement: "You have the sole responsibility to avoid or refrain from violating this order's provisions. Only the court can change the order and only upon written application."</w:t>
      </w:r>
    </w:p>
    <w:p>
      <w:pPr>
        <w:spacing w:before="0" w:after="0" w:line="408" w:lineRule="exact"/>
        <w:ind w:left="0" w:right="0" w:firstLine="576"/>
        <w:jc w:val="left"/>
      </w:pPr>
      <w:r>
        <w:rPr/>
        <w:t xml:space="preserve">(e) The court staff handbook must allow for the addition of a community resource list by the court clerk.</w:t>
      </w:r>
    </w:p>
    <w:p>
      <w:pPr>
        <w:spacing w:before="0" w:after="0" w:line="408" w:lineRule="exact"/>
        <w:ind w:left="0" w:right="0" w:firstLine="576"/>
        <w:jc w:val="left"/>
      </w:pPr>
      <w:r>
        <w:rPr/>
        <w:t xml:space="preserve">(2) All court clerks may create a community resource list of crisis intervention, </w:t>
      </w:r>
      <w:r>
        <w:t>((</w:t>
      </w:r>
      <w:r>
        <w:rPr>
          <w:strike/>
        </w:rPr>
        <w:t xml:space="preserve">mental</w:t>
      </w:r>
      <w:r>
        <w:t>))</w:t>
      </w:r>
      <w:r>
        <w:rPr/>
        <w:t xml:space="preserve"> </w:t>
      </w:r>
      <w:r>
        <w:rPr>
          <w:u w:val="single"/>
        </w:rPr>
        <w:t xml:space="preserve">behavioral</w:t>
      </w:r>
      <w:r>
        <w:rPr/>
        <w:t xml:space="preserve"> health, </w:t>
      </w:r>
      <w:r>
        <w:t>((</w:t>
      </w:r>
      <w:r>
        <w:rPr>
          <w:strike/>
        </w:rPr>
        <w:t xml:space="preserve">substance abuse,</w:t>
      </w:r>
      <w:r>
        <w:t>))</w:t>
      </w:r>
      <w:r>
        <w:rPr/>
        <w:t xml:space="preserve"> interpreter, counseling, and other relevant resources serving the county in which the court is located. The court may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 Distribution of all documents shall, at a minimum, be in an electronic format or formats accessible to all courts and court clerks in the state.</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December 1, 2017.</w:t>
      </w:r>
    </w:p>
    <w:p>
      <w:pPr>
        <w:spacing w:before="0" w:after="0" w:line="408" w:lineRule="exact"/>
        <w:ind w:left="0" w:right="0" w:firstLine="576"/>
        <w:jc w:val="left"/>
      </w:pPr>
      <w:r>
        <w:rPr/>
        <w:t xml:space="preserve">(6) The administrative office of the courts shall update the instructions, brochures, standard petition and extreme risk protection order forms, and court staff handbook as necessary, including when changes in the law make an update necessary.</w:t>
      </w:r>
    </w:p>
    <w:p>
      <w:pPr>
        <w:spacing w:before="0" w:after="0" w:line="408" w:lineRule="exact"/>
        <w:ind w:left="0" w:right="0" w:firstLine="576"/>
        <w:jc w:val="left"/>
      </w:pPr>
      <w:r>
        <w:rPr>
          <w:u w:val="single"/>
        </w:rPr>
        <w:t xml:space="preserve">(7) Consistent with the provisions of this section, the administrative office of the courts shall develop and prepare:</w:t>
      </w:r>
    </w:p>
    <w:p>
      <w:pPr>
        <w:spacing w:before="0" w:after="0" w:line="408" w:lineRule="exact"/>
        <w:ind w:left="0" w:right="0" w:firstLine="576"/>
        <w:jc w:val="left"/>
      </w:pPr>
      <w:r>
        <w:rPr>
          <w:u w:val="single"/>
        </w:rPr>
        <w:t xml:space="preserve">(a) A standard petition and order form for an extreme risk protection order sought against a respondent under eighteen years of age, titled "Extreme Risk Protection Order - Respondent Under 18 Years";</w:t>
      </w:r>
    </w:p>
    <w:p>
      <w:pPr>
        <w:spacing w:before="0" w:after="0" w:line="408" w:lineRule="exact"/>
        <w:ind w:left="0" w:right="0" w:firstLine="576"/>
        <w:jc w:val="left"/>
      </w:pPr>
      <w:r>
        <w:rPr>
          <w:u w:val="single"/>
        </w:rPr>
        <w:t xml:space="preserve">(b) Pattern forms to assist in streamlining the process for those persons who are eligible to seal records relating to an order under (a) of this subsection, including:</w:t>
      </w:r>
    </w:p>
    <w:p>
      <w:pPr>
        <w:spacing w:before="0" w:after="0" w:line="408" w:lineRule="exact"/>
        <w:ind w:left="0" w:right="0" w:firstLine="576"/>
        <w:jc w:val="left"/>
      </w:pPr>
      <w:r>
        <w:rPr>
          <w:u w:val="single"/>
        </w:rPr>
        <w:t xml:space="preserve">(i) A petition and declaration the respondent can complete to ensure that requirements for public sealing have been met; and</w:t>
      </w:r>
    </w:p>
    <w:p>
      <w:pPr>
        <w:spacing w:before="0" w:after="0" w:line="408" w:lineRule="exact"/>
        <w:ind w:left="0" w:right="0" w:firstLine="576"/>
        <w:jc w:val="left"/>
      </w:pPr>
      <w:r>
        <w:rPr>
          <w:u w:val="single"/>
        </w:rPr>
        <w:t xml:space="preserve">(ii) An order sealing the court records relating to that order; and</w:t>
      </w:r>
    </w:p>
    <w:p>
      <w:pPr>
        <w:spacing w:before="0" w:after="0" w:line="408" w:lineRule="exact"/>
        <w:ind w:left="0" w:right="0" w:firstLine="576"/>
        <w:jc w:val="left"/>
      </w:pPr>
      <w:r>
        <w:rPr>
          <w:u w:val="single"/>
        </w:rPr>
        <w:t xml:space="preserve">(c) An informational brochure to be served on any respondent who is subject to a temporary or full order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w:t>
      </w:r>
      <w:r>
        <w:t>((</w:t>
      </w:r>
      <w:r>
        <w:rPr>
          <w:strike/>
        </w:rPr>
        <w:t xml:space="preserve">or</w:t>
      </w:r>
      <w:r>
        <w:t>))</w:t>
      </w:r>
    </w:p>
    <w:p>
      <w:pPr>
        <w:spacing w:before="0" w:after="0" w:line="408" w:lineRule="exact"/>
        <w:ind w:left="0" w:right="0" w:firstLine="576"/>
        <w:jc w:val="left"/>
      </w:pPr>
      <w:r>
        <w:rPr/>
        <w:t xml:space="preserve">(b) </w:t>
      </w:r>
      <w:r>
        <w:rPr>
          <w:u w:val="single"/>
        </w:rPr>
        <w:t xml:space="preserve">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u w:val="single"/>
        </w:rPr>
        <w:t xml:space="preserve">(c)</w:t>
      </w:r>
      <w:r>
        <w:rPr/>
        <w:t xml:space="preserve">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11b1d375dd04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59297e56442f3" /><Relationship Type="http://schemas.openxmlformats.org/officeDocument/2006/relationships/footer" Target="/word/footer1.xml" Id="R11b1d375dd044373" /></Relationships>
</file>