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b60100ae1494d" /></Relationships>
</file>

<file path=word/document.xml><?xml version="1.0" encoding="utf-8"?>
<w:document xmlns:w="http://schemas.openxmlformats.org/wordprocessingml/2006/main">
  <w:body>
    <w:p>
      <w:r>
        <w:t>S-0321.2</w:t>
      </w:r>
    </w:p>
    <w:p>
      <w:pPr>
        <w:jc w:val="center"/>
      </w:pPr>
      <w:r>
        <w:t>_______________________________________________</w:t>
      </w:r>
    </w:p>
    <w:p/>
    <w:p>
      <w:pPr>
        <w:jc w:val="center"/>
      </w:pPr>
      <w:r>
        <w:rPr>
          <w:b/>
        </w:rPr>
        <w:t>SENATE BILL 5027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Carlyle, Palumbo, Wellman, Pedersen, Keiser, Saldaña, Mullet, and O'Ban</w:t>
      </w:r>
    </w:p>
    <w:p/>
    <w:p>
      <w:r>
        <w:rPr>
          <w:t xml:space="preserve">Prefiled 12/17/18.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and amending RCW 7.94.120, 7.94.030, and 7.94.060.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120</w:t>
      </w:r>
      <w:r>
        <w:rPr/>
        <w:t xml:space="preserve"> and 2017 c 3 s 13 are each amended to read as follows:</w:t>
      </w:r>
    </w:p>
    <w:p>
      <w:pPr>
        <w:spacing w:before="0" w:after="0" w:line="408" w:lineRule="exact"/>
        <w:ind w:left="0" w:right="0" w:firstLine="576"/>
        <w:jc w:val="left"/>
      </w:pPr>
      <w:r>
        <w:rPr/>
        <w:t xml:space="preserve">(1) Any person who files a petition under this chapter knowing the information in such petition to be materially false, or with intent to harass the respondent, is guilty of a gross misdemeanor.</w:t>
      </w:r>
    </w:p>
    <w:p>
      <w:pPr>
        <w:spacing w:before="0" w:after="0" w:line="408" w:lineRule="exact"/>
        <w:ind w:left="0" w:right="0" w:firstLine="576"/>
        <w:jc w:val="left"/>
      </w:pPr>
      <w:r>
        <w:rPr/>
        <w:t xml:space="preserve">(2) Any person who has in his or her custody or control, purchases, possesses, or receives a firearm with knowledge that he or she is prohibited from doing so by an order issued under this chapter is guilty of a gross misdemeanor, and further is prohibited from having in his or her custody or control, purchasing, possessing, or receiving, or attempting to purchase or receive, a firearm for a period of five years from the date the existing order expires. However, such person is guilty of a class C felony if the person has </w:t>
      </w:r>
      <w:r>
        <w:t>((</w:t>
      </w:r>
      <w:r>
        <w:rPr>
          <w:strike/>
        </w:rPr>
        <w:t xml:space="preserve">two</w:t>
      </w:r>
      <w:r>
        <w:t>))</w:t>
      </w:r>
      <w:r>
        <w:rPr/>
        <w:t xml:space="preserve"> </w:t>
      </w:r>
      <w:r>
        <w:rPr>
          <w:u w:val="single"/>
        </w:rPr>
        <w:t xml:space="preserve">one</w:t>
      </w:r>
      <w:r>
        <w:rPr/>
        <w:t xml:space="preserve">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w:t>
      </w:r>
      <w:r>
        <w:rPr>
          <w:u w:val="single"/>
        </w:rPr>
        <w:t xml:space="preserve">accessing,</w:t>
      </w:r>
      <w:r>
        <w:rPr/>
        <w:t xml:space="preserve">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w:t>
      </w:r>
      <w:r>
        <w:rPr>
          <w:u w:val="single"/>
        </w:rPr>
        <w:t xml:space="preserve">access,</w:t>
      </w:r>
      <w:r>
        <w:rPr/>
        <w:t xml:space="preserve">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 </w:t>
      </w:r>
      <w:r>
        <w:rPr>
          <w:u w:val="single"/>
        </w:rPr>
        <w:t xml:space="preserve">Relief under this chapter must not be denied or delayed on the grounds that relief is available in another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mental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w:t>
      </w:r>
      <w:r>
        <w:rPr>
          <w:u w:val="single"/>
        </w:rPr>
        <w:t xml:space="preserve">The juvenile court may hear a proceeding under this chapter if the respondent is under the age of eighteen years.</w:t>
      </w:r>
      <w:r>
        <w:rPr/>
        <w:t xml:space="preserve">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0" w:after="0" w:line="408" w:lineRule="exact"/>
        <w:ind w:left="0" w:right="0" w:firstLine="576"/>
        <w:jc w:val="left"/>
      </w:pPr>
      <w:r>
        <w:rPr>
          <w:u w:val="single"/>
        </w:rPr>
        <w:t xml:space="preserve">(12) When a respondent is under the age of eighteen years at the time any extreme risk protection order or ex parte extreme risk protection order is entered:</w:t>
      </w:r>
    </w:p>
    <w:p>
      <w:pPr>
        <w:spacing w:before="0" w:after="0" w:line="408" w:lineRule="exact"/>
        <w:ind w:left="0" w:right="0" w:firstLine="576"/>
        <w:jc w:val="left"/>
      </w:pPr>
      <w:r>
        <w:rPr>
          <w:u w:val="single"/>
        </w:rPr>
        <w:t xml:space="preserve">(a) The order must be entered into and maintained in computer-based systems as required in RCW 7.94.110;</w:t>
      </w:r>
    </w:p>
    <w:p>
      <w:pPr>
        <w:spacing w:before="0" w:after="0" w:line="408" w:lineRule="exact"/>
        <w:ind w:left="0" w:right="0" w:firstLine="576"/>
        <w:jc w:val="left"/>
      </w:pPr>
      <w:r>
        <w:rPr>
          <w:u w:val="single"/>
        </w:rPr>
        <w:t xml:space="preserve">(b) The court records related to the proceedings must remain confidential as required by chapter 13.50 RCW; and</w:t>
      </w:r>
    </w:p>
    <w:p>
      <w:pPr>
        <w:spacing w:before="0" w:after="0" w:line="408" w:lineRule="exact"/>
        <w:ind w:left="0" w:right="0" w:firstLine="576"/>
        <w:jc w:val="left"/>
      </w:pPr>
      <w:r>
        <w:rPr>
          <w:u w:val="single"/>
        </w:rPr>
        <w:t xml:space="preserve">(c) The court records must be administratively sealed after the latest of (i) the respondent's eighteenth birthday; or (ii) the termination of the extreme risk protection order.</w:t>
      </w:r>
    </w:p>
    <w:p>
      <w:pPr>
        <w:spacing w:before="0" w:after="0" w:line="408" w:lineRule="exact"/>
        <w:ind w:left="0" w:right="0" w:firstLine="576"/>
        <w:jc w:val="left"/>
      </w:pPr>
      <w:r>
        <w:rPr>
          <w:u w:val="single"/>
        </w:rPr>
        <w:t xml:space="preserve">(13) The court shall give law enforcement priority at any extreme risk protection order calendar because of the importance of immediate temporary removal of firearms in situations of extreme risk and the goal of minimizing the time law enforcement must otherwise wait for a particular case to be called, which can hinder their other patrol and supervisory duties. In the alternative, the court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u w:val="single"/>
        </w:rPr>
        <w:t xml:space="preserve">(14) Recognizing that an extreme risk protection order may need to be issued outside of normal business hours, courts shall allow law enforcement petitioners to petition after-hours for an ex parte extreme risk protection order using an on-call, after-hours judge, as is done for approval of after-hours search warrants.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w:t>
      </w:r>
    </w:p>
    <w:p>
      <w:pPr>
        <w:spacing w:before="0" w:after="0" w:line="408" w:lineRule="exact"/>
        <w:ind w:left="0" w:right="0" w:firstLine="576"/>
        <w:jc w:val="left"/>
      </w:pPr>
      <w:r>
        <w:rPr>
          <w:u w:val="single"/>
        </w:rPr>
        <w:t xml:space="preserve">(b) The court shall advise the parent or guardian in writing of the legal obligation to safely secure any firearm on the premises and the potential for criminal prosecution if a prohibited person were to obtain access to the firearm.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
      <w:pPr>
        <w:jc w:val="center"/>
      </w:pPr>
      <w:r>
        <w:rPr>
          <w:b/>
        </w:rPr>
        <w:t>--- END ---</w:t>
      </w:r>
    </w:p>
    <w:sectPr>
      <w:pgNumType w:start="1"/>
      <w:footerReference xmlns:r="http://schemas.openxmlformats.org/officeDocument/2006/relationships" r:id="R86f68ce541ef49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e2e8d59de461c" /><Relationship Type="http://schemas.openxmlformats.org/officeDocument/2006/relationships/footer" Target="/word/footer1.xml" Id="R86f68ce541ef49c1" /></Relationships>
</file>