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8a6237f4746d9" /></Relationships>
</file>

<file path=word/document.xml><?xml version="1.0" encoding="utf-8"?>
<w:document xmlns:w="http://schemas.openxmlformats.org/wordprocessingml/2006/main">
  <w:body>
    <w:p>
      <w:r>
        <w:t>S-0419.1</w:t>
      </w:r>
    </w:p>
    <w:p>
      <w:pPr>
        <w:jc w:val="center"/>
      </w:pPr>
      <w:r>
        <w:t>_______________________________________________</w:t>
      </w:r>
    </w:p>
    <w:p/>
    <w:p>
      <w:pPr>
        <w:jc w:val="center"/>
      </w:pPr>
      <w:r>
        <w:rPr>
          <w:b/>
        </w:rPr>
        <w:t>SENATE BILL 5072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Frockt, and Takko</w:t>
      </w:r>
    </w:p>
    <w:p/>
    <w:p>
      <w:r>
        <w:rPr>
          <w:t xml:space="preserve">Prefiled 01/03/19.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and amending RCW 7.94.030 and 7.94.060.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mental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w:t>
      </w:r>
    </w:p>
    <w:p>
      <w:pPr>
        <w:spacing w:before="0" w:after="0" w:line="408" w:lineRule="exact"/>
        <w:ind w:left="0" w:right="0" w:firstLine="576"/>
        <w:jc w:val="left"/>
      </w:pPr>
      <w:r>
        <w:rPr>
          <w:u w:val="single"/>
        </w:rPr>
        <w:t xml:space="preserve">(b) The court shall advise the parent or guardian in writing of the legal obligation to safely secure any firearm on the premises and the potential for criminal prosecution if a prohibited person were to obtain access to the firearm.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
      <w:pPr>
        <w:jc w:val="center"/>
      </w:pPr>
      <w:r>
        <w:rPr>
          <w:b/>
        </w:rPr>
        <w:t>--- END ---</w:t>
      </w:r>
    </w:p>
    <w:sectPr>
      <w:pgNumType w:start="1"/>
      <w:footerReference xmlns:r="http://schemas.openxmlformats.org/officeDocument/2006/relationships" r:id="Rc2abce2aa4004e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179b0a9614e5e" /><Relationship Type="http://schemas.openxmlformats.org/officeDocument/2006/relationships/footer" Target="/word/footer1.xml" Id="Rc2abce2aa4004ef2" /></Relationships>
</file>