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5c71165b246ee" /></Relationships>
</file>

<file path=word/document.xml><?xml version="1.0" encoding="utf-8"?>
<w:document xmlns:w="http://schemas.openxmlformats.org/wordprocessingml/2006/main">
  <w:body>
    <w:p>
      <w:r>
        <w:t>S-0121.3</w:t>
      </w:r>
    </w:p>
    <w:p>
      <w:pPr>
        <w:jc w:val="center"/>
      </w:pPr>
      <w:r>
        <w:t>_______________________________________________</w:t>
      </w:r>
    </w:p>
    <w:p/>
    <w:p>
      <w:pPr>
        <w:jc w:val="center"/>
      </w:pPr>
      <w:r>
        <w:rPr>
          <w:b/>
        </w:rPr>
        <w:t>SENATE BILL 5123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Padden</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three days in unlawful detainer actions; and amending RCW 59.12.030.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u w:val="single"/>
        </w:rPr>
        <w:t xml:space="preserve">(1)</w:t>
      </w:r>
      <w:r>
        <w:rPr/>
        <w:t xml:space="preserve"> A tenant of real property for a term less than life is guilty of unlawful detainer either: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 The notice may be served at any time after the rent becomes due;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When he or she commits or permits any gang-related activity at the premises as prohibited by RCW 59.18.130.</w:t>
      </w:r>
    </w:p>
    <w:p>
      <w:pPr>
        <w:spacing w:before="0" w:after="0" w:line="408" w:lineRule="exact"/>
        <w:ind w:left="0" w:right="0" w:firstLine="576"/>
        <w:jc w:val="left"/>
      </w:pPr>
      <w:r>
        <w:rPr>
          <w:u w:val="single"/>
        </w:rPr>
        <w:t xml:space="preserve">(2) For the purposes of this section, "three days" means three calendar days. The calculation of three calendar days does not include any weekend days or holidays.</w:t>
      </w:r>
    </w:p>
    <w:p/>
    <w:p>
      <w:pPr>
        <w:jc w:val="center"/>
      </w:pPr>
      <w:r>
        <w:rPr>
          <w:b/>
        </w:rPr>
        <w:t>--- END ---</w:t>
      </w:r>
    </w:p>
    <w:sectPr>
      <w:pgNumType w:start="1"/>
      <w:footerReference xmlns:r="http://schemas.openxmlformats.org/officeDocument/2006/relationships" r:id="R9124af076bbc4b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08b8f21174817" /><Relationship Type="http://schemas.openxmlformats.org/officeDocument/2006/relationships/footer" Target="/word/footer1.xml" Id="R9124af076bbc4b31" /></Relationships>
</file>