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ddd4816b824e3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McCoy, Billig, Darneille, Hunt, Rolfes, and Schoesler)</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traumatic brain injury fee; amending RCW 46.63.110 and 74.31.060;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two</w:t>
      </w:r>
      <w:r>
        <w:t>))</w:t>
      </w:r>
      <w:r>
        <w:rPr/>
        <w:t xml:space="preserve"> </w:t>
      </w:r>
      <w:r>
        <w:rPr>
          <w:u w:val="single"/>
        </w:rPr>
        <w:t xml:space="preserve">five</w:t>
      </w:r>
      <w:r>
        <w:rPr/>
        <w:t xml:space="preserve"> dollars per infraction. </w:t>
      </w:r>
      <w:r>
        <w:rPr>
          <w:u w:val="single"/>
        </w:rPr>
        <w:t xml:space="preserve">Under no circumstances shall this fee be reduced or waived.</w:t>
      </w:r>
      <w:r>
        <w:rPr/>
        <w:t xml:space="preserve">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060</w:t>
      </w:r>
      <w:r>
        <w:rPr/>
        <w:t xml:space="preserve"> and 2011 c 143 s 6 are each amended to read as follows:</w:t>
      </w:r>
    </w:p>
    <w:p>
      <w:pPr>
        <w:spacing w:before="0" w:after="0" w:line="408" w:lineRule="exact"/>
        <w:ind w:left="0" w:right="0" w:firstLine="576"/>
        <w:jc w:val="left"/>
      </w:pPr>
      <w:r>
        <w:rPr>
          <w:u w:val="single"/>
        </w:rPr>
        <w:t xml:space="preserve">(1)</w:t>
      </w:r>
      <w:r>
        <w:rPr/>
        <w:t xml:space="preserve"> The traumatic brain injury account is created in the state treasury. </w:t>
      </w:r>
      <w:r>
        <w:t>((</w:t>
      </w:r>
      <w:r>
        <w:rPr>
          <w:strike/>
        </w:rPr>
        <w:t xml:space="preserve">Two dollars of</w:t>
      </w:r>
      <w:r>
        <w:t>))</w:t>
      </w:r>
      <w:r>
        <w:rPr/>
        <w:t xml:space="preserve"> </w:t>
      </w:r>
      <w:r>
        <w:rPr>
          <w:u w:val="single"/>
        </w:rPr>
        <w:t xml:space="preserve">T</w:t>
      </w:r>
      <w:r>
        <w:rPr/>
        <w:t xml:space="preserve">he fee imposed under RCW 46.63.110(7)(c)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74.31.040 and 74.31.050, for information and referral services, and for costs of required department staff who are providing support for the council under RCW 74.31.020 and 74.31.030. The secretary of the department of social and health services has the authority to administer the funds.</w:t>
      </w:r>
    </w:p>
    <w:p>
      <w:pPr>
        <w:spacing w:before="0" w:after="0" w:line="408" w:lineRule="exact"/>
        <w:ind w:left="0" w:right="0" w:firstLine="576"/>
        <w:jc w:val="left"/>
      </w:pPr>
      <w:r>
        <w:rPr>
          <w:u w:val="single"/>
        </w:rPr>
        <w:t xml:space="preserve">(2) The fee increase from two dollars to five dollars under RCW 46.63.110(7)(c) shall be used and provided for purposes in addition to public awareness and services noted in RCW 46.63.110, related to traumatic brain injury including:</w:t>
      </w:r>
    </w:p>
    <w:p>
      <w:pPr>
        <w:spacing w:before="0" w:after="0" w:line="408" w:lineRule="exact"/>
        <w:ind w:left="0" w:right="0" w:firstLine="576"/>
        <w:jc w:val="left"/>
      </w:pPr>
      <w:r>
        <w:rPr>
          <w:u w:val="single"/>
        </w:rPr>
        <w:t xml:space="preserve">(a) Funding for innovative and novel research with the potential to create leaps in knowledge to further effective evaluation and treatment protocols for those with traumatic brain injury given the long-term cognitive, behavioral, and physical consequences and impairments that may result from the underlying brain injury;</w:t>
      </w:r>
    </w:p>
    <w:p>
      <w:pPr>
        <w:spacing w:before="0" w:after="0" w:line="408" w:lineRule="exact"/>
        <w:ind w:left="0" w:right="0" w:firstLine="576"/>
        <w:jc w:val="left"/>
      </w:pPr>
      <w:r>
        <w:rPr>
          <w:u w:val="single"/>
        </w:rPr>
        <w:t xml:space="preserve">(b) Improving concussion prevention, recognition, evaluation, and treatment protocols for veterans, athletes, individuals impacted by domestic violence, and other vulnerable populations;</w:t>
      </w:r>
    </w:p>
    <w:p>
      <w:pPr>
        <w:spacing w:before="0" w:after="0" w:line="408" w:lineRule="exact"/>
        <w:ind w:left="0" w:right="0" w:firstLine="576"/>
        <w:jc w:val="left"/>
      </w:pPr>
      <w:r>
        <w:rPr>
          <w:u w:val="single"/>
        </w:rPr>
        <w:t xml:space="preserve">(c) Developing and maintaining a repository of information at the University of Washington, made available to the public with use of available and affordable technology, on concussion prevention, recognition, evaluation, and treatment protocols;</w:t>
      </w:r>
    </w:p>
    <w:p>
      <w:pPr>
        <w:spacing w:before="0" w:after="0" w:line="408" w:lineRule="exact"/>
        <w:ind w:left="0" w:right="0" w:firstLine="576"/>
        <w:jc w:val="left"/>
      </w:pPr>
      <w:r>
        <w:rPr>
          <w:u w:val="single"/>
        </w:rPr>
        <w:t xml:space="preserve">(d) Increasing the number of active case managers at the brain injury alliance of Washington to cover all areas of the state of Washington to provide support for brain injury survivors and their family members recovering from brain injury;</w:t>
      </w:r>
    </w:p>
    <w:p>
      <w:pPr>
        <w:spacing w:before="0" w:after="0" w:line="408" w:lineRule="exact"/>
        <w:ind w:left="0" w:right="0" w:firstLine="576"/>
        <w:jc w:val="left"/>
      </w:pPr>
      <w:r>
        <w:rPr>
          <w:u w:val="single"/>
        </w:rPr>
        <w:t xml:space="preserve">(e) Increasing the number of brain health and wellness classes, courses, and programs in all areas of the state of Washington that provide nonmedical classes, courses, and programs for brain injury survivors and their family members recovering from brain injury that has been established and modeled by the brain injury alliance of Washington;</w:t>
      </w:r>
    </w:p>
    <w:p>
      <w:pPr>
        <w:spacing w:before="0" w:after="0" w:line="408" w:lineRule="exact"/>
        <w:ind w:left="0" w:right="0" w:firstLine="576"/>
        <w:jc w:val="left"/>
      </w:pPr>
      <w:r>
        <w:rPr>
          <w:u w:val="single"/>
        </w:rPr>
        <w:t xml:space="preserve">(f) Funding to establish a statewide system of brain injury patient referrals for those discharged from any hospital with a diagnosis of brain injury in order to receive information and service available; and</w:t>
      </w:r>
    </w:p>
    <w:p>
      <w:pPr>
        <w:spacing w:before="0" w:after="0" w:line="408" w:lineRule="exact"/>
        <w:ind w:left="0" w:right="0" w:firstLine="576"/>
        <w:jc w:val="left"/>
      </w:pPr>
      <w:r>
        <w:rPr>
          <w:u w:val="single"/>
        </w:rPr>
        <w:t xml:space="preserve">(g) Funding to provide a statewide awareness campaign and training in support of return to work for individuals who have suffered a brain injury.</w:t>
      </w:r>
    </w:p>
    <w:p/>
    <w:p>
      <w:pPr>
        <w:jc w:val="center"/>
      </w:pPr>
      <w:r>
        <w:rPr>
          <w:b/>
        </w:rPr>
        <w:t>--- END ---</w:t>
      </w:r>
    </w:p>
    <w:sectPr>
      <w:pgNumType w:start="1"/>
      <w:footerReference xmlns:r="http://schemas.openxmlformats.org/officeDocument/2006/relationships" r:id="Rfb06fc904f5f4c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30ad6defe6471f" /><Relationship Type="http://schemas.openxmlformats.org/officeDocument/2006/relationships/footer" Target="/word/footer1.xml" Id="Rfb06fc904f5f4c6a" /></Relationships>
</file>