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878f618c84989" /></Relationships>
</file>

<file path=word/document.xml><?xml version="1.0" encoding="utf-8"?>
<w:document xmlns:w="http://schemas.openxmlformats.org/wordprocessingml/2006/main">
  <w:body>
    <w:p>
      <w:r>
        <w:t>S-1732.1</w:t>
      </w:r>
    </w:p>
    <w:p>
      <w:pPr>
        <w:jc w:val="center"/>
      </w:pPr>
      <w:r>
        <w:t>_______________________________________________</w:t>
      </w:r>
    </w:p>
    <w:p/>
    <w:p>
      <w:pPr>
        <w:jc w:val="center"/>
      </w:pPr>
      <w:r>
        <w:rPr>
          <w:b/>
        </w:rPr>
        <w:t>SUBSTITUTE SENATE BILL 5135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Rolfes, Frockt, Salomon, Palumbo, Cleveland, Carlyle, Kuderer, Saldaña, Billig, Dhingra, Pedersen, Wellman, Hunt, Das, McCoy, Liias, Darneille, Hasegawa, Keiser, and Van De Wege)</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and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identify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 and</w:t>
      </w:r>
    </w:p>
    <w:p>
      <w:pPr>
        <w:spacing w:before="0" w:after="0" w:line="408" w:lineRule="exact"/>
        <w:ind w:left="0" w:right="0" w:firstLine="576"/>
        <w:jc w:val="left"/>
      </w:pPr>
      <w:r>
        <w:rPr/>
        <w:t xml:space="preserve">(f)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(f)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Food or beverages;</w:t>
      </w:r>
    </w:p>
    <w:p>
      <w:pPr>
        <w:spacing w:before="0" w:after="0" w:line="408" w:lineRule="exact"/>
        <w:ind w:left="0" w:right="0" w:firstLine="576"/>
        <w:jc w:val="left"/>
      </w:pPr>
      <w:r>
        <w:rPr/>
        <w:t xml:space="preserve">(ii) Tobacco products;</w:t>
      </w:r>
    </w:p>
    <w:p>
      <w:pPr>
        <w:spacing w:before="0" w:after="0" w:line="408" w:lineRule="exact"/>
        <w:ind w:left="0" w:right="0" w:firstLine="576"/>
        <w:jc w:val="left"/>
      </w:pPr>
      <w:r>
        <w:rPr/>
        <w:t xml:space="preserve">(iii) Drug or biological products regulated by the United States food and drug administration;</w:t>
      </w:r>
    </w:p>
    <w:p>
      <w:pPr>
        <w:spacing w:before="0" w:after="0" w:line="408" w:lineRule="exact"/>
        <w:ind w:left="0" w:right="0" w:firstLine="576"/>
        <w:jc w:val="left"/>
      </w:pPr>
      <w:r>
        <w:rPr/>
        <w:t xml:space="preserve">(iv)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w:t>
      </w:r>
    </w:p>
    <w:p>
      <w:pPr>
        <w:spacing w:before="0" w:after="0" w:line="408" w:lineRule="exact"/>
        <w:ind w:left="0" w:right="0" w:firstLine="576"/>
        <w:jc w:val="left"/>
      </w:pPr>
      <w:r>
        <w:rPr/>
        <w:t xml:space="preserve">(b) The priority chemical or members of a class of priority chemicals is not functionally necessary in the priority consumer product;</w:t>
      </w:r>
    </w:p>
    <w:p>
      <w:pPr>
        <w:spacing w:before="0" w:after="0" w:line="408" w:lineRule="exact"/>
        <w:ind w:left="0" w:right="0" w:firstLine="576"/>
        <w:jc w:val="left"/>
      </w:pPr>
      <w:r>
        <w:rPr/>
        <w:t xml:space="preserve">(c) Another state or nation has restricted the priority chemical</w:t>
      </w:r>
    </w:p>
    <w:p>
      <w:pPr>
        <w:spacing w:before="0" w:after="0" w:line="408" w:lineRule="exact"/>
        <w:ind w:left="0" w:right="0" w:firstLine="0"/>
        <w:jc w:val="left"/>
      </w:pPr>
      <w:r>
        <w:rPr/>
        <w:t xml:space="preserve"> or members of a class of priority chemicals in a product; or</w:t>
      </w:r>
    </w:p>
    <w:p>
      <w:pPr>
        <w:spacing w:before="0" w:after="0" w:line="408" w:lineRule="exact"/>
        <w:ind w:left="0" w:right="0" w:firstLine="576"/>
        <w:jc w:val="left"/>
      </w:pPr>
      <w:r>
        <w:rPr/>
        <w:t xml:space="preserve">(d) It is necessary to protect the health of sensitive populations or sensitive species.</w:t>
      </w:r>
    </w:p>
    <w:p>
      <w:pPr>
        <w:spacing w:before="0" w:after="0" w:line="408" w:lineRule="exact"/>
        <w:ind w:left="0" w:right="0" w:firstLine="576"/>
        <w:jc w:val="left"/>
      </w:pPr>
      <w:r>
        <w:rPr/>
        <w:t xml:space="preserve">(4)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identify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priority chemicals,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the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adopt rules to implement the determinations of regulatory actions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12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NumType w:start="1"/>
      <w:footerReference xmlns:r="http://schemas.openxmlformats.org/officeDocument/2006/relationships" r:id="R17687a6843834e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ffae2dfe04416" /><Relationship Type="http://schemas.openxmlformats.org/officeDocument/2006/relationships/footer" Target="/word/footer1.xml" Id="R17687a6843834e85" /></Relationships>
</file>