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2f19e428d4f4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Wilson, L., Brown, Carlyle, Conway, Darneille, Palumbo, Keiser, Mullet, O'Ban, Short, Wagoner, and Warnick)</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by exempting menstrual products from retail sales and use tax;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for feminine hygiene products provided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(2) The legislature categorizes these tax preferences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(4) The joint legislative audit and review committee is not required to include the tax preferences authorized in sections 3 and 4, chapter . . ., Laws of 2020 (sections 3 and 4 of this act) as part of its normal review process of tax preferences. The tax preferences authorized in sections 3 and 4, chapter . . ., Laws of 2020 (sections 3 and 4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products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df122753975b48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0c7258302415d" /><Relationship Type="http://schemas.openxmlformats.org/officeDocument/2006/relationships/footer" Target="/word/footer1.xml" Id="Rdf122753975b4864" /></Relationships>
</file>