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26bf3ad86423d" /></Relationships>
</file>

<file path=word/document.xml><?xml version="1.0" encoding="utf-8"?>
<w:document xmlns:w="http://schemas.openxmlformats.org/wordprocessingml/2006/main">
  <w:body>
    <w:p>
      <w:r>
        <w:t>S-0663.1</w:t>
      </w:r>
    </w:p>
    <w:p>
      <w:pPr>
        <w:jc w:val="center"/>
      </w:pPr>
      <w:r>
        <w:t>_______________________________________________</w:t>
      </w:r>
    </w:p>
    <w:p/>
    <w:p>
      <w:pPr>
        <w:jc w:val="center"/>
      </w:pPr>
      <w:r>
        <w:rPr>
          <w:b/>
        </w:rPr>
        <w:t>SENATE BILL 5219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Pedersen, Becker, Palumbo, Zeiger, Van De Wege, Holy, Dhingra, Braun, Schoesler, Warnick, Ericksen, Honeyford, Bailey, Brown, Short, Sheldon, Fortunato, O'Ban, Das, Mullet, Wellman, and Wilson, L.</w:t>
      </w:r>
    </w:p>
    <w:p/>
    <w:p>
      <w:r>
        <w:rPr>
          <w:t xml:space="preserve">Read first time 01/16/19.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condominium construction warranties; and amending RCW 64.90.665, 64.90.670, 64.90.675, and 64.90.680.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665</w:t>
      </w:r>
      <w:r>
        <w:rPr/>
        <w:t xml:space="preserve"> and 2018 c 277 s 414 are each amended to read as follows:</w:t>
      </w:r>
    </w:p>
    <w:p>
      <w:pPr>
        <w:spacing w:before="0" w:after="0" w:line="408" w:lineRule="exact"/>
        <w:ind w:left="0" w:right="0" w:firstLine="576"/>
        <w:jc w:val="left"/>
      </w:pP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statement, affirmation, promise, model, depiction, or description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0" w:after="0" w:line="408" w:lineRule="exact"/>
        <w:ind w:left="0" w:right="0" w:firstLine="576"/>
        <w:jc w:val="left"/>
      </w:pPr>
      <w:r>
        <w:rPr>
          <w:u w:val="single"/>
        </w:rPr>
        <w:t xml:space="preserve">(5) This section does not apply to condominiums with less than seven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670</w:t>
      </w:r>
      <w:r>
        <w:rPr/>
        <w:t xml:space="preserve"> and 2018 c 277 s 415 are each amended to read as follows:</w:t>
      </w:r>
    </w:p>
    <w:p>
      <w:pPr>
        <w:spacing w:before="0" w:after="0" w:line="408" w:lineRule="exact"/>
        <w:ind w:left="0" w:right="0" w:firstLine="576"/>
        <w:jc w:val="left"/>
      </w:pP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sound engineering and construction standards;</w:t>
      </w:r>
    </w:p>
    <w:p>
      <w:pPr>
        <w:spacing w:before="0" w:after="0" w:line="408" w:lineRule="exact"/>
        <w:ind w:left="0" w:right="0" w:firstLine="576"/>
        <w:jc w:val="left"/>
      </w:pPr>
      <w:r>
        <w:rPr/>
        <w:t xml:space="preserve">(c) Constructed in a workmanlike manner; and</w:t>
      </w:r>
    </w:p>
    <w:p>
      <w:pPr>
        <w:spacing w:before="0" w:after="0" w:line="408" w:lineRule="exact"/>
        <w:ind w:left="0" w:right="0" w:firstLine="576"/>
        <w:jc w:val="left"/>
      </w:pPr>
      <w:r>
        <w:rPr/>
        <w:t xml:space="preserve">(d) Constructed in compliance with all laws then applicable to such improvements.</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RCW 64.90.675.</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plaintiff must show that the alleged breach has adversely affected or will adversely affect the performance of that portion of the unit or common elements alleged to be in breach.</w:t>
      </w:r>
    </w:p>
    <w:p>
      <w:pPr>
        <w:spacing w:before="0" w:after="0" w:line="408" w:lineRule="exact"/>
        <w:ind w:left="0" w:right="0" w:firstLine="576"/>
        <w:jc w:val="left"/>
      </w:pPr>
      <w:r>
        <w:rPr/>
        <w:t xml:space="preserve">(b) As used in this subsection, an adverse effect must be more than technical and must be significant to a reasonable person. To establish an adverse effect, the person alleging the breach is not required to prove that the breach renders the unit or common element uninhabitable or unfit for its intended purpose.</w:t>
      </w:r>
    </w:p>
    <w:p>
      <w:pPr>
        <w:spacing w:before="0" w:after="0" w:line="408" w:lineRule="exact"/>
        <w:ind w:left="0" w:right="0" w:firstLine="576"/>
        <w:jc w:val="left"/>
      </w:pPr>
      <w:r>
        <w:rPr/>
        <w:t xml:space="preserve">(8) Proof of breach of any obligation arising under this section is not proof of damages. Damages awarded for a breach of an obligation arising under this section are the reasonable cost of repairs. However, if it is established that the cost of such repairs is clearly disproportionate to the loss in market value caused by the breach, damages are limited to the loss in market value.</w:t>
      </w:r>
    </w:p>
    <w:p>
      <w:pPr>
        <w:spacing w:before="0" w:after="0" w:line="408" w:lineRule="exact"/>
        <w:ind w:left="0" w:right="0" w:firstLine="576"/>
        <w:jc w:val="left"/>
      </w:pPr>
      <w:r>
        <w:rPr>
          <w:u w:val="single"/>
        </w:rPr>
        <w:t xml:space="preserve">(9) This section does not apply to condominiums with less than seven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675</w:t>
      </w:r>
      <w:r>
        <w:rPr/>
        <w:t xml:space="preserve"> and 2018 c 277 s 416 are each amended to read as follows:</w:t>
      </w:r>
    </w:p>
    <w:p>
      <w:pPr>
        <w:spacing w:before="0" w:after="0" w:line="408" w:lineRule="exact"/>
        <w:ind w:left="0" w:right="0" w:firstLine="576"/>
        <w:jc w:val="left"/>
      </w:pPr>
      <w:r>
        <w:rPr/>
        <w:t xml:space="preserve">(1) Except as limited under subsection (2) of this section with respect to a purchaser of a condominium unit that may be used for residential use, implied warranties of quality under RCW 64.90.670:</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condominium unit that may be used for residential use, no disclaimer of implied warranties of quality under RCW 64.90.670 is effective, except that a declarant and any dealer may disclaim liability in an instrument for one or more specified defects or failures to comply with applicable law, if:</w:t>
      </w:r>
    </w:p>
    <w:p>
      <w:pPr>
        <w:spacing w:before="0" w:after="0" w:line="408" w:lineRule="exact"/>
        <w:ind w:left="0" w:right="0" w:firstLine="576"/>
        <w:jc w:val="left"/>
      </w:pPr>
      <w:r>
        <w:rPr/>
        <w:t xml:space="preserve">(a) The declarant or dealer knows or has reason to believe that the specific defects or failures exist at the time of disclosure;</w:t>
      </w:r>
    </w:p>
    <w:p>
      <w:pPr>
        <w:spacing w:before="0" w:after="0" w:line="408" w:lineRule="exact"/>
        <w:ind w:left="0" w:right="0" w:firstLine="576"/>
        <w:jc w:val="left"/>
      </w:pPr>
      <w:r>
        <w:rPr/>
        <w:t xml:space="preserve">(b) The disclaimer specifically describes the defects or failures;</w:t>
      </w:r>
    </w:p>
    <w:p>
      <w:pPr>
        <w:spacing w:before="0" w:after="0" w:line="408" w:lineRule="exact"/>
        <w:ind w:left="0" w:right="0" w:firstLine="576"/>
        <w:jc w:val="left"/>
      </w:pPr>
      <w:r>
        <w:rPr/>
        <w:t xml:space="preserve">(c) The disclaimer includes a statement as to the effect of the defects or failures;</w:t>
      </w:r>
    </w:p>
    <w:p>
      <w:pPr>
        <w:spacing w:before="0" w:after="0" w:line="408" w:lineRule="exact"/>
        <w:ind w:left="0" w:right="0" w:firstLine="576"/>
        <w:jc w:val="left"/>
      </w:pPr>
      <w:r>
        <w:rPr/>
        <w:t xml:space="preserve">(d) The disclaimer is bold faced, capitalized, underlined, or otherwise set out from surrounding material so as to be conspicuous; and</w:t>
      </w:r>
    </w:p>
    <w:p>
      <w:pPr>
        <w:spacing w:before="0" w:after="0" w:line="408" w:lineRule="exact"/>
        <w:ind w:left="0" w:right="0" w:firstLine="576"/>
        <w:jc w:val="left"/>
      </w:pPr>
      <w:r>
        <w:rPr/>
        <w:t xml:space="preserve">(e) The disclaimer is signed by the purchaser.</w:t>
      </w:r>
    </w:p>
    <w:p>
      <w:pPr>
        <w:spacing w:before="0" w:after="0" w:line="408" w:lineRule="exact"/>
        <w:ind w:left="0" w:right="0" w:firstLine="576"/>
        <w:jc w:val="left"/>
      </w:pPr>
      <w:r>
        <w:rPr/>
        <w:t xml:space="preserve">(3) A declarant or dealer may not make an express written warranty of quality that limits the implied warranties of quality made to the purchaser set forth in RCW 64.90.670.</w:t>
      </w:r>
    </w:p>
    <w:p>
      <w:pPr>
        <w:spacing w:before="0" w:after="0" w:line="408" w:lineRule="exact"/>
        <w:ind w:left="0" w:right="0" w:firstLine="576"/>
        <w:jc w:val="left"/>
      </w:pPr>
      <w:r>
        <w:rPr>
          <w:u w:val="single"/>
        </w:rPr>
        <w:t xml:space="preserve">(4) This section does not apply to condominiums with less than seven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680</w:t>
      </w:r>
      <w:r>
        <w:rPr/>
        <w:t xml:space="preserve"> and 2018 c 277 s 417 are each amended to read as follows:</w:t>
      </w:r>
    </w:p>
    <w:p>
      <w:pPr>
        <w:spacing w:before="0" w:after="0" w:line="408" w:lineRule="exact"/>
        <w:ind w:left="0" w:right="0" w:firstLine="576"/>
        <w:jc w:val="left"/>
      </w:pPr>
      <w:r>
        <w:rPr/>
        <w:t xml:space="preserve">(1) A proceeding for breach of any obligations arising under RCW 64.90.665, 64.90.670, or 64.90.675 must be commenced within four years after the cause of action accrues. The period for commencing an action for a breach accruing pursuant to subsection (2)(a) of this section does not expire prior to one year after termination of the period of declarant control, if any, under RCW 64.90.415.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for breach of warranty of quality, regardless of the purchaser's lack of knowledge of the breach, accrues:</w:t>
      </w:r>
    </w:p>
    <w:p>
      <w:pPr>
        <w:spacing w:before="0" w:after="0" w:line="408" w:lineRule="exact"/>
        <w:ind w:left="0" w:right="0" w:firstLine="576"/>
        <w:jc w:val="left"/>
      </w:pPr>
      <w:r>
        <w:rPr/>
        <w:t xml:space="preserve">(a) As to a unit, the latest of:</w:t>
      </w:r>
    </w:p>
    <w:p>
      <w:pPr>
        <w:spacing w:before="0" w:after="0" w:line="408" w:lineRule="exact"/>
        <w:ind w:left="0" w:right="0" w:firstLine="576"/>
        <w:jc w:val="left"/>
      </w:pPr>
      <w:r>
        <w:rPr/>
        <w:t xml:space="preserve">(i) The date the unit was conveyed to the purchaser to whom the warranty is first made; or</w:t>
      </w:r>
    </w:p>
    <w:p>
      <w:pPr>
        <w:spacing w:before="0" w:after="0" w:line="408" w:lineRule="exact"/>
        <w:ind w:left="0" w:right="0" w:firstLine="576"/>
        <w:jc w:val="left"/>
      </w:pPr>
      <w:r>
        <w:rPr/>
        <w:t xml:space="preserve">(ii) The date any portion of the unit that constitutes a building enclosure as defined in RCW 64.55.010(3) was completed; and</w:t>
      </w:r>
    </w:p>
    <w:p>
      <w:pPr>
        <w:spacing w:before="0" w:after="0" w:line="408" w:lineRule="exact"/>
        <w:ind w:left="0" w:right="0" w:firstLine="576"/>
        <w:jc w:val="left"/>
      </w:pPr>
      <w:r>
        <w:rPr/>
        <w:t xml:space="preserve">(b) As to each common element, at the latest of:</w:t>
      </w:r>
    </w:p>
    <w:p>
      <w:pPr>
        <w:spacing w:before="0" w:after="0" w:line="408" w:lineRule="exact"/>
        <w:ind w:left="0" w:right="0" w:firstLine="576"/>
        <w:jc w:val="left"/>
      </w:pPr>
      <w:r>
        <w:rPr/>
        <w:t xml:space="preserve">(i) The date the common element was completed;</w:t>
      </w:r>
    </w:p>
    <w:p>
      <w:pPr>
        <w:spacing w:before="0" w:after="0" w:line="408" w:lineRule="exact"/>
        <w:ind w:left="0" w:right="0" w:firstLine="576"/>
        <w:jc w:val="left"/>
      </w:pPr>
      <w:r>
        <w:rPr/>
        <w:t xml:space="preserve">(ii) The date the common element was added to the condominium; or</w:t>
      </w:r>
    </w:p>
    <w:p>
      <w:pPr>
        <w:spacing w:before="0" w:after="0" w:line="408" w:lineRule="exact"/>
        <w:ind w:left="0" w:right="0" w:firstLine="576"/>
        <w:jc w:val="left"/>
      </w:pPr>
      <w:r>
        <w:rPr/>
        <w:t xml:space="preserve">(iii) The date the first unit in the condominium was conveyed to a bona fide purchaser.</w:t>
      </w:r>
    </w:p>
    <w:p>
      <w:pPr>
        <w:spacing w:before="0" w:after="0" w:line="408" w:lineRule="exact"/>
        <w:ind w:left="0" w:right="0" w:firstLine="576"/>
        <w:jc w:val="left"/>
      </w:pPr>
      <w:r>
        <w:rPr/>
        <w:t xml:space="preserve">(3)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RCW 64.50.020 within the time prescribed for the filing of an action under this chapter, the statutes of limitation in this chapter and any applicable statutes of repose for construction-related claims are tolled until sixty days after the period of time during which the filing of an action is barred under RCW 64.50.020.</w:t>
      </w:r>
    </w:p>
    <w:p>
      <w:pPr>
        <w:spacing w:before="0" w:after="0" w:line="408" w:lineRule="exact"/>
        <w:ind w:left="0" w:right="0" w:firstLine="576"/>
        <w:jc w:val="left"/>
      </w:pPr>
      <w:r>
        <w:rPr>
          <w:u w:val="single"/>
        </w:rPr>
        <w:t xml:space="preserve">(5) This section does not apply to condominiums with less than seven units.</w:t>
      </w:r>
    </w:p>
    <w:p/>
    <w:p>
      <w:pPr>
        <w:jc w:val="center"/>
      </w:pPr>
      <w:r>
        <w:rPr>
          <w:b/>
        </w:rPr>
        <w:t>--- END ---</w:t>
      </w:r>
    </w:p>
    <w:sectPr>
      <w:pgNumType w:start="1"/>
      <w:footerReference xmlns:r="http://schemas.openxmlformats.org/officeDocument/2006/relationships" r:id="R8910a84c5c1e4b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d61d8f5ae5439f" /><Relationship Type="http://schemas.openxmlformats.org/officeDocument/2006/relationships/footer" Target="/word/footer1.xml" Id="R8910a84c5c1e4bd0" /></Relationships>
</file>