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55314c72e4786" /></Relationships>
</file>

<file path=word/document.xml><?xml version="1.0" encoding="utf-8"?>
<w:document xmlns:w="http://schemas.openxmlformats.org/wordprocessingml/2006/main">
  <w:body>
    <w:p>
      <w:r>
        <w:t>S-0547.2</w:t>
      </w:r>
    </w:p>
    <w:p>
      <w:pPr>
        <w:jc w:val="center"/>
      </w:pPr>
      <w:r>
        <w:t>_______________________________________________</w:t>
      </w:r>
    </w:p>
    <w:p/>
    <w:p>
      <w:pPr>
        <w:jc w:val="center"/>
      </w:pPr>
      <w:r>
        <w:rPr>
          <w:b/>
        </w:rPr>
        <w:t>SENATE BILL 5234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Palumbo, Rivers, and Short</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excise tax for medical marijuana patients with recognition cards for products identified as beneficial for medical use; amending RCW 69.50.535;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w:t>
      </w:r>
      <w:r>
        <w:rPr>
          <w:u w:val="single"/>
        </w:rPr>
        <w:t xml:space="preserve">(a) The tax levied by subsection (1) of this section does not apply to sales, by a marijuana retailer with a medical marijuana endorsement to qualifying patients or designated providers who have been issued a recognition card, of marijuana concentrates, useable marijuana, or marijuana-infused products, identified by the department under RCW 69.50.375 to be beneficial for medical use</w:t>
      </w:r>
      <w:r>
        <w:rPr>
          <w:u w:val="single"/>
        </w:rPr>
        <w:t xml:space="preserve">.</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liquor and cannabis board.</w:t>
      </w:r>
    </w:p>
    <w:p>
      <w:pPr>
        <w:spacing w:before="0" w:after="0" w:line="408" w:lineRule="exact"/>
        <w:ind w:left="0" w:right="0" w:firstLine="576"/>
        <w:jc w:val="left"/>
      </w:pPr>
      <w:r>
        <w:rPr>
          <w:u w:val="single"/>
        </w:rPr>
        <w:t xml:space="preserve">(c) The liquor and cannabis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marijuana excise tax imposed under this section must be deposited each day in the dedicated marijuana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marijuana, marijuana concentrates, useable marijuana, and marijuana-infused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020f303011664f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8165fdee943ed" /><Relationship Type="http://schemas.openxmlformats.org/officeDocument/2006/relationships/footer" Target="/word/footer1.xml" Id="R020f303011664fc2" /></Relationships>
</file>