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99b1759d9a4901" /></Relationships>
</file>

<file path=word/document.xml><?xml version="1.0" encoding="utf-8"?>
<w:document xmlns:w="http://schemas.openxmlformats.org/wordprocessingml/2006/main">
  <w:body>
    <w:p>
      <w:r>
        <w:t>S-2583.1</w:t>
      </w:r>
    </w:p>
    <w:p>
      <w:pPr>
        <w:jc w:val="center"/>
      </w:pPr>
      <w:r>
        <w:t>_______________________________________________</w:t>
      </w:r>
    </w:p>
    <w:p/>
    <w:p>
      <w:pPr>
        <w:jc w:val="center"/>
      </w:pPr>
      <w:r>
        <w:rPr>
          <w:b/>
        </w:rPr>
        <w:t>SECOND SUBSTITUTE SENATE BILL 5284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Liias, Wagoner, Van De Wege, and Hasegawa)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amending RCW 43.44.110 and 64.06.020; adding a new section to chapter 43.44 RCW; adding a new section to chapter 48.19 RCW;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(c) Any person or entity that assists the buyer of a dwelling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u w:val="single"/>
        </w:rPr>
        <w:t xml:space="preserve">(5)(a) Except as provided in (b) of this subsection (5), a</w:t>
      </w:r>
      <w:r>
        <w:rPr/>
        <w:t xml:space="preserve">ny owner</w:t>
      </w:r>
      <w:r>
        <w:rPr>
          <w:u w:val="single"/>
        </w:rPr>
        <w:t xml:space="preserve">, seller,</w:t>
      </w:r>
      <w:r>
        <w:rPr/>
        <w:t xml:space="preserve">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t xml:space="preserve"> </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shall be deposited into the smoke detection device awareness account created in section 2 of this act.</w:t>
      </w:r>
    </w:p>
    <w:p>
      <w:pPr>
        <w:spacing w:before="0" w:after="0" w:line="408" w:lineRule="exact"/>
        <w:ind w:left="0" w:right="0" w:firstLine="576"/>
        <w:jc w:val="left"/>
      </w:pPr>
      <w:r>
        <w:rPr>
          <w:u w:val="single"/>
        </w:rPr>
        <w:t xml:space="preserve">(6) Subsection (5)(b) of this section shall be enforced by the chief of the Washington state patrol, through the director of fire protection or the director of fire protection's authorized deputy. Enforcement shall happen after a fire occurs and when it is evident that the dwelling unit sold on or after the effective date of this section did not have at least one smoke detection device. If necessary, in lieu of the director of fire protection or the director of fire protection's authorized deputy, the following may also enforce this act:</w:t>
      </w:r>
    </w:p>
    <w:p>
      <w:pPr>
        <w:spacing w:before="0" w:after="0" w:line="408" w:lineRule="exact"/>
        <w:ind w:left="0" w:right="0" w:firstLine="576"/>
        <w:jc w:val="left"/>
      </w:pPr>
      <w:r>
        <w:rPr>
          <w:u w:val="single"/>
        </w:rPr>
        <w:t xml:space="preserve">(a) The chief of the fire department if the dwelling unit is located within a city or town; or</w:t>
      </w:r>
    </w:p>
    <w:p>
      <w:pPr>
        <w:spacing w:before="0" w:after="0" w:line="408" w:lineRule="exact"/>
        <w:ind w:left="0" w:right="0" w:firstLine="576"/>
        <w:jc w:val="left"/>
      </w:pPr>
      <w:r>
        <w:rPr>
          <w:u w:val="single"/>
        </w:rPr>
        <w:t xml:space="preserve">(b)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rPr>
              <w:t xml:space="preserve"> </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In making rates for the insurance coverage for dwelling units, insurers shall consider the benefits of fire alarms in their rate making. If the insurer determines a separate fire alarm factor is valid, then an exhibit supporting these changes and any credits or discounts resulting from any such changes must be included in the initial filing supporting such change. An insurer need not file any exhibits or offer any related discounts if it determines that there is no material anticipated change in losses due to the use of such equipment or if any potential discount is not actuarially supported.</w:t>
      </w:r>
    </w:p>
    <w:p>
      <w:pPr>
        <w:spacing w:before="0" w:after="0" w:line="408" w:lineRule="exact"/>
        <w:ind w:left="0" w:right="0" w:firstLine="576"/>
        <w:jc w:val="left"/>
      </w:pPr>
      <w:r>
        <w:rPr/>
        <w:t xml:space="preserve">(2) For the purposes of this section, "dwelling unit" means a residential dwelling of any type, including a single-family residence, apartment, condominium, or cooperative unit.</w:t>
      </w:r>
    </w:p>
    <w:p>
      <w:pPr>
        <w:spacing w:before="0" w:after="0" w:line="408" w:lineRule="exact"/>
        <w:ind w:left="0" w:right="0" w:firstLine="576"/>
        <w:jc w:val="left"/>
      </w:pPr>
      <w:r>
        <w:rPr/>
        <w:t xml:space="preserve">(3) This section applies to rate filings for coverage for dwelling units filed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Greg "Gibby" Gibson home fire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effective for real estate transactions entered into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f8faaf11c7c47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3b4dbc24854e66" /><Relationship Type="http://schemas.openxmlformats.org/officeDocument/2006/relationships/footer" Target="/word/footer1.xml" Id="R2f8faaf11c7c4709" /></Relationships>
</file>