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4418c23c04def" /></Relationships>
</file>

<file path=word/document.xml><?xml version="1.0" encoding="utf-8"?>
<w:document xmlns:w="http://schemas.openxmlformats.org/wordprocessingml/2006/main">
  <w:body>
    <w:p>
      <w:r>
        <w:t>S-0521.1</w:t>
      </w:r>
    </w:p>
    <w:p>
      <w:pPr>
        <w:jc w:val="center"/>
      </w:pPr>
      <w:r>
        <w:t>_______________________________________________</w:t>
      </w:r>
    </w:p>
    <w:p/>
    <w:p>
      <w:pPr>
        <w:jc w:val="center"/>
      </w:pPr>
      <w:r>
        <w:rPr>
          <w:b/>
        </w:rPr>
        <w:t>SENATE BILL 5284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Wagoner, Van De Wege, and Hasegawa</w:t>
      </w:r>
    </w:p>
    <w:p/>
    <w:p>
      <w:r>
        <w:rPr>
          <w:t xml:space="preserve">Read first time 01/16/19.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the seller shall install smoke detection devices in the dwelling unit in accordance with this section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(5)(a) Except as provided in (b) of this subsection (5), a</w:t>
      </w:r>
      <w:r>
        <w:rPr/>
        <w:t xml:space="preserve">ny owner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this subsection (5)(b) shall be deposited into the smoke detection device awareness account created in section 2 of this act.</w:t>
      </w:r>
    </w:p>
    <w:p>
      <w:pPr>
        <w:spacing w:before="0" w:after="0" w:line="408" w:lineRule="exact"/>
        <w:ind w:left="0" w:right="0" w:firstLine="576"/>
        <w:jc w:val="left"/>
      </w:pPr>
      <w:r>
        <w:rPr>
          <w:u w:val="single"/>
        </w:rPr>
        <w:t xml:space="preserve">(6) This section shall be enforced by the chief of the Washington state patrol, through the director of fire protection or the director of fire protection's authorized deputy, or by:</w:t>
      </w:r>
    </w:p>
    <w:p>
      <w:pPr>
        <w:spacing w:before="0" w:after="0" w:line="408" w:lineRule="exact"/>
        <w:ind w:left="0" w:right="0" w:firstLine="576"/>
        <w:jc w:val="left"/>
      </w:pPr>
      <w:r>
        <w:rPr>
          <w:u w:val="single"/>
        </w:rPr>
        <w:t xml:space="preserve">(a) The chief of the fire department if the dwelling unit is located within a city or town; or</w:t>
      </w:r>
    </w:p>
    <w:p>
      <w:pPr>
        <w:spacing w:before="0" w:after="0" w:line="408" w:lineRule="exact"/>
        <w:ind w:left="0" w:right="0" w:firstLine="576"/>
        <w:jc w:val="left"/>
      </w:pPr>
      <w:r>
        <w:rPr>
          <w:u w:val="single"/>
        </w:rPr>
        <w:t xml:space="preserve">(b)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43.44.110(5)(b)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seller must equip the residence with smoke detection devices.)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All insurance companies writing homeowner's insurance in this state shall allow an appropriate reduction in premium charges to all persons who certify the dwelling unit or units covered under the insurance policy contain properly installed and maintained smoke detection devices meeting the requirements in RCW 43.44.110.</w:t>
      </w:r>
    </w:p>
    <w:p>
      <w:pPr>
        <w:spacing w:before="0" w:after="0" w:line="408" w:lineRule="exact"/>
        <w:ind w:left="0" w:right="0" w:firstLine="576"/>
        <w:jc w:val="left"/>
      </w:pPr>
      <w:r>
        <w:rPr/>
        <w:t xml:space="preserve">(2) For purposes of this section, "smoke detection device" has the same meaning as in RCW 43.44.110.</w:t>
      </w:r>
    </w:p>
    <w:p/>
    <w:p>
      <w:pPr>
        <w:jc w:val="center"/>
      </w:pPr>
      <w:r>
        <w:rPr>
          <w:b/>
        </w:rPr>
        <w:t>--- END ---</w:t>
      </w:r>
    </w:p>
    <w:sectPr>
      <w:pgNumType w:start="1"/>
      <w:footerReference xmlns:r="http://schemas.openxmlformats.org/officeDocument/2006/relationships" r:id="Re3e2af9fb7b945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1f322bc494997" /><Relationship Type="http://schemas.openxmlformats.org/officeDocument/2006/relationships/footer" Target="/word/footer1.xml" Id="Re3e2af9fb7b94594" /></Relationships>
</file>