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8040663c8f4e06" /></Relationships>
</file>

<file path=word/document.xml><?xml version="1.0" encoding="utf-8"?>
<w:document xmlns:w="http://schemas.openxmlformats.org/wordprocessingml/2006/main">
  <w:body>
    <w:p>
      <w:r>
        <w:t>S-0007.2</w:t>
      </w:r>
    </w:p>
    <w:p>
      <w:pPr>
        <w:jc w:val="center"/>
      </w:pPr>
      <w:r>
        <w:t>_______________________________________________</w:t>
      </w:r>
    </w:p>
    <w:p/>
    <w:p>
      <w:pPr>
        <w:jc w:val="center"/>
      </w:pPr>
      <w:r>
        <w:rPr>
          <w:b/>
        </w:rPr>
        <w:t>SENATE BILL 5299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Padden, Frockt, Kuderer, and Wagoner</w:t>
      </w:r>
    </w:p>
    <w:p/>
    <w:p>
      <w:r>
        <w:rPr>
          <w:t xml:space="preserve">Read first time 01/17/19.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46.61.502, 46.61.5055, 46.61.504, and 9.94A.525;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2017 c 335 s 1 are each amended to read as follows:</w:t>
      </w:r>
    </w:p>
    <w:p>
      <w:pPr>
        <w:spacing w:before="0" w:after="0" w:line="408" w:lineRule="exact"/>
        <w:ind w:left="0" w:right="0" w:firstLine="576"/>
        <w:jc w:val="left"/>
      </w:pPr>
      <w:r>
        <w:rPr/>
        <w:t xml:space="preserve">(1) A person is guilty of driving while under the influence of intoxicating liquor, marijuana,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marijuana, or any drug; or</w:t>
      </w:r>
    </w:p>
    <w:p>
      <w:pPr>
        <w:spacing w:before="0" w:after="0" w:line="408" w:lineRule="exact"/>
        <w:ind w:left="0" w:right="0" w:firstLine="576"/>
        <w:jc w:val="left"/>
      </w:pPr>
      <w:r>
        <w:rPr/>
        <w:t xml:space="preserve">(d) While the person is under the combined influence of or affected by intoxicating liquor, marijuana,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twenty-five</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2018 c 201 s 9009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term of imprisonment and electronic home monitoring under this subsection (2)(a)(i), the court may order a minimum of four days in jail and either one hundred eighty days of electronic home monitoring or a one hundred twenty-day period of 24/7 sobriety program monitoring pursuant to RCW 36.28A.300 through 36.28A.390.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imprisonment and electronic home monitoring under this subsection (2)(b)(i), the court may order a minimum of six days in jail and either six months of electronic home monitoring or a one hundred twenty-day period of 24/7 sobriety program monitoring pursuant to RCW 36.28A.300 through 36.28A.390.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w:t>
      </w:r>
      <w:r>
        <w:rPr>
          <w:b/>
        </w:rPr>
        <w:t xml:space="preserve"> or more prior offenses in </w:t>
      </w:r>
      <w:r>
        <w:t>((</w:t>
      </w:r>
      <w:r>
        <w:rPr>
          <w:b/>
          <w:strike/>
        </w:rPr>
        <w:t xml:space="preserve">ten</w:t>
      </w:r>
      <w:r>
        <w:t>))</w:t>
      </w:r>
      <w:r>
        <w:rPr>
          <w:b/>
        </w:rPr>
        <w:t xml:space="preserve"> </w:t>
      </w:r>
      <w:r>
        <w:rPr>
          <w:b/>
          <w:u w:val="single"/>
        </w:rPr>
        <w:t xml:space="preserve">twenty-five</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twenty-five</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prior offense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or until the person is evaluated by an alcoholism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twenty-five</w:t>
      </w:r>
      <w:r>
        <w:rPr/>
        <w:t xml:space="preserve"> years" means that the arrest for a prior offense occurred within </w:t>
      </w:r>
      <w:r>
        <w:t>((</w:t>
      </w:r>
      <w:r>
        <w:rPr>
          <w:strike/>
        </w:rPr>
        <w:t xml:space="preserve">ten</w:t>
      </w:r>
      <w:r>
        <w:t>))</w:t>
      </w:r>
      <w:r>
        <w:rPr/>
        <w:t xml:space="preserve"> </w:t>
      </w:r>
      <w:r>
        <w:rPr>
          <w:u w:val="single"/>
        </w:rPr>
        <w:t xml:space="preserve">twenty-five</w:t>
      </w:r>
      <w:r>
        <w:rPr/>
        <w:t xml:space="preserve">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2017 c 335 s 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twenty-five</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2017 c 272 s 3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w:t>
      </w:r>
      <w:r>
        <w:t>((</w:t>
      </w:r>
      <w:r>
        <w:rPr>
          <w:strike/>
        </w:rPr>
        <w:t xml:space="preserve">9A.44.130 or</w:t>
      </w:r>
      <w:r>
        <w:t>))</w:t>
      </w:r>
      <w:r>
        <w:rPr/>
        <w:t xml:space="preserve"> 9A.44.132, count priors as in subsections (7) through (11) and (13) through (16) of this section; however count three points for each adult and juvenile prior sex offense conviction, excluding prior convictions for failure to register as a sex offender under RCW </w:t>
      </w:r>
      <w:r>
        <w:t>((</w:t>
      </w:r>
      <w:r>
        <w:rPr>
          <w:strike/>
        </w:rPr>
        <w:t xml:space="preserve">9A.44.130 or</w:t>
      </w:r>
      <w:r>
        <w:t>))</w:t>
      </w:r>
      <w:r>
        <w:rPr/>
        <w:t xml:space="preserve">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t xml:space="preserve">(c) 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t xml:space="preserve">(d)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
      <w:pPr>
        <w:jc w:val="center"/>
      </w:pPr>
      <w:r>
        <w:rPr>
          <w:b/>
        </w:rPr>
        <w:t>--- END ---</w:t>
      </w:r>
    </w:p>
    <w:sectPr>
      <w:pgNumType w:start="1"/>
      <w:footerReference xmlns:r="http://schemas.openxmlformats.org/officeDocument/2006/relationships" r:id="Rc5b8248cc80641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b0b3e4792d417b" /><Relationship Type="http://schemas.openxmlformats.org/officeDocument/2006/relationships/footer" Target="/word/footer1.xml" Id="Rc5b8248cc806417c" /></Relationships>
</file>