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f8bdbb05b4844" /></Relationships>
</file>

<file path=word/document.xml><?xml version="1.0" encoding="utf-8"?>
<w:document xmlns:w="http://schemas.openxmlformats.org/wordprocessingml/2006/main">
  <w:body>
    <w:p>
      <w:r>
        <w:t>S-1293.2</w:t>
      </w:r>
    </w:p>
    <w:p>
      <w:pPr>
        <w:jc w:val="center"/>
      </w:pPr>
      <w:r>
        <w:t>_______________________________________________</w:t>
      </w:r>
    </w:p>
    <w:p/>
    <w:p>
      <w:pPr>
        <w:jc w:val="center"/>
      </w:pPr>
      <w:r>
        <w:rPr>
          <w:b/>
        </w:rPr>
        <w:t>SUBSTITUTE SENATE BILL 5327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Wellman, Zeiger, Keiser, Palumbo, Hunt, Rivers, Hawkins, Warnick, Carlyle, Conway, Dhingra, Frockt, Kuderer, Saldaña, and Wagoner; by request of Office of the Governor)</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career connected learning opportunities; amending RCW 28C.18.060; adding a new section to chapter 28B.10 RCW; adding a new section to chapter 28A.700 RCW;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w:t>
      </w:r>
      <w:r>
        <w:rPr/>
        <w:t xml:space="preserve">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w:t>
      </w:r>
      <w:r>
        <w:rPr/>
        <w:t xml:space="preserve">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career connected learning cross-agency work group is established to scale up and expand high-quality career connected learning opportunities, as "career connected learning" is defined in section 5 of this act,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3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w:t>
      </w:r>
    </w:p>
    <w:p>
      <w:pPr>
        <w:spacing w:before="0" w:after="0" w:line="408" w:lineRule="exact"/>
        <w:ind w:left="0" w:right="0" w:firstLine="576"/>
        <w:jc w:val="left"/>
      </w:pPr>
      <w:r>
        <w:rPr/>
        <w:t xml:space="preserve">(l) The office of the lieutenant governor; and</w:t>
      </w:r>
    </w:p>
    <w:p>
      <w:pPr>
        <w:spacing w:before="0" w:after="0" w:line="408" w:lineRule="exact"/>
        <w:ind w:left="0" w:right="0" w:firstLine="576"/>
        <w:jc w:val="left"/>
      </w:pPr>
      <w:r>
        <w:rPr/>
        <w:t xml:space="preserve">(m)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3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2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w:t>
      </w:r>
      <w:r>
        <w:rPr/>
        <w:t xml:space="preserve">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 including, but not limited to, offering guidance and technical assistance to school districts and local education agencies to ensure students take advantage of flexibility in the twenty-four-credit diploma and earn high school credit for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4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5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strategic plan in section 3 of this act. The program shall be administered by the employment security department.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(3)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(3)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(4)(a)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industry and education stakeholders, a track record of success with career connected learning and aligned initiatives, and a commitment to equity. Regional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(5)(a) Funds provided to program intermediaries are for the purpose of creating career connected learning programs through a competitive grant process.</w:t>
      </w:r>
    </w:p>
    <w:p>
      <w:pPr>
        <w:spacing w:before="0" w:after="0" w:line="408" w:lineRule="exact"/>
        <w:ind w:left="0" w:right="0" w:firstLine="576"/>
        <w:jc w:val="left"/>
      </w:pPr>
      <w:r>
        <w:rPr/>
        <w:t xml:space="preserve">(b) Program intermediaries shall work with regional networks, career connected learning coordinators, and industry and education partners to expand the use of current curricula or further develop or build new curricula for career connected learning programs. Curricula built with public funds for career connected learning programs is open source curricula. </w:t>
      </w:r>
    </w:p>
    <w:p>
      <w:pPr>
        <w:spacing w:before="0" w:after="0" w:line="408" w:lineRule="exact"/>
        <w:ind w:left="0" w:right="0" w:firstLine="576"/>
        <w:jc w:val="left"/>
      </w:pPr>
      <w:r>
        <w:rPr/>
        <w:t xml:space="preserve">(c) Eligible program intermediary applicants may include, but are not limited to, new or existing industry associations, joint labor management councils, regional networks,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(6)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w:t>
      </w:r>
      <w:r>
        <w:rPr>
          <w:b/>
        </w:rPr>
        <w:t xml:space="preserve"> </w:t>
      </w:r>
      <w:r>
        <w:rPr/>
        <w:t xml:space="preserve">may be achieved through, but are not limited to one or more of the following:</w:t>
      </w:r>
    </w:p>
    <w:p>
      <w:pPr>
        <w:spacing w:before="0" w:after="0" w:line="408" w:lineRule="exact"/>
        <w:ind w:left="0" w:right="0" w:firstLine="576"/>
        <w:jc w:val="left"/>
      </w:pPr>
      <w:r>
        <w:rPr/>
        <w:t xml:space="preserve">(i) A state 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under section 3(1)(a)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program" means the program established in the 2018 omnibus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4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the state universities, the regional universities, and the state college shall employ career connected learning coordinators. Career connected learning coordinators shall coordinate with the regional career connected learning networks and program intermediaries under section 4 of this act to expand career connected learning preparation and career launch programs offered at community and technical colleges,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5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24d3033f264d42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d29df58494237" /><Relationship Type="http://schemas.openxmlformats.org/officeDocument/2006/relationships/footer" Target="/word/footer1.xml" Id="R24d3033f264d425b" /></Relationships>
</file>