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410d4682134eac" /></Relationships>
</file>

<file path=word/document.xml><?xml version="1.0" encoding="utf-8"?>
<w:document xmlns:w="http://schemas.openxmlformats.org/wordprocessingml/2006/main">
  <w:body>
    <w:p>
      <w:r>
        <w:t>S-2373.4</w:t>
      </w:r>
    </w:p>
    <w:p>
      <w:pPr>
        <w:jc w:val="center"/>
      </w:pPr>
      <w:r>
        <w:t>_______________________________________________</w:t>
      </w:r>
    </w:p>
    <w:p/>
    <w:p>
      <w:pPr>
        <w:jc w:val="center"/>
      </w:pPr>
      <w:r>
        <w:rPr>
          <w:b/>
        </w:rPr>
        <w:t>SECOND SUBSTITUTE SENATE BILL 5444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Dhingra, O'Ban, Darneille, Wagoner, Frockt, Kuderer, and Nguyen;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10.31.110, 10.77.086, and 10.77.088; adding a new section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subsection, a court may appoint an impartial forensic navigator employed by or contracted with the department to assist individuals who have been referred for competency evaluation.</w:t>
      </w:r>
    </w:p>
    <w:p>
      <w:pPr>
        <w:spacing w:before="0" w:after="0" w:line="408" w:lineRule="exact"/>
        <w:ind w:left="0" w:right="0" w:firstLine="576"/>
        <w:jc w:val="left"/>
      </w:pPr>
      <w:r>
        <w:rPr/>
        <w:t xml:space="preserve">(2) A forensic navigator must assist the individual to navigate the legal process and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treatment options available to the individual to support the entry of orders for diversion from the forensic mental health system or for community outpatient competency restoration; and</w:t>
      </w:r>
    </w:p>
    <w:p>
      <w:pPr>
        <w:spacing w:before="0" w:after="0" w:line="408" w:lineRule="exact"/>
        <w:ind w:left="0" w:right="0" w:firstLine="576"/>
        <w:jc w:val="left"/>
      </w:pPr>
      <w:r>
        <w:rPr/>
        <w:t xml:space="preserve">(d)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Prior to the conclusion of outpatient restoration services, facilitating a coordinated transition of the individual to a case manager in the community behavioral health system;</w:t>
      </w:r>
    </w:p>
    <w:p>
      <w:pPr>
        <w:spacing w:before="0" w:after="0" w:line="408" w:lineRule="exact"/>
        <w:ind w:left="0" w:right="0" w:firstLine="576"/>
        <w:jc w:val="left"/>
      </w:pPr>
      <w:r>
        <w:rPr/>
        <w:t xml:space="preserve">(viii) Following up with the individual to check whether the meeting with a community-based case manager took place;</w:t>
      </w:r>
    </w:p>
    <w:p>
      <w:pPr>
        <w:spacing w:before="0" w:after="0" w:line="408" w:lineRule="exact"/>
        <w:ind w:left="0" w:right="0" w:firstLine="576"/>
        <w:jc w:val="left"/>
      </w:pPr>
      <w:r>
        <w:rPr/>
        <w:t xml:space="preserve">(ix) When the individual is a high utilizer, attempting to connect the individual with high utilizer services; and</w:t>
      </w:r>
    </w:p>
    <w:p>
      <w:pPr>
        <w:spacing w:before="0" w:after="0" w:line="408" w:lineRule="exact"/>
        <w:ind w:left="0" w:right="0" w:firstLine="576"/>
        <w:jc w:val="left"/>
      </w:pPr>
      <w:r>
        <w:rPr/>
        <w:t xml:space="preserve">(x) Checking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If, after the forensic navigator has advised the criminal court, the court does not order the individual into outpatient competency restoration services, the role of the navigator must end.</w:t>
      </w:r>
    </w:p>
    <w:p>
      <w:pPr>
        <w:spacing w:before="0" w:after="0" w:line="408" w:lineRule="exact"/>
        <w:ind w:left="0" w:right="0" w:firstLine="576"/>
        <w:jc w:val="left"/>
      </w:pPr>
      <w:r>
        <w:rPr/>
        <w:t xml:space="preserve">(6) Forensic navigators shall be deemed officers of the court for the purpose of immunity from civil liability.</w:t>
      </w:r>
    </w:p>
    <w:p>
      <w:pPr>
        <w:spacing w:before="0" w:after="0" w:line="408" w:lineRule="exact"/>
        <w:ind w:left="0" w:right="0" w:firstLine="576"/>
        <w:jc w:val="left"/>
      </w:pPr>
      <w:r>
        <w:rPr/>
        <w:t xml:space="preserve">(7)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(8) A prosecutor may dismiss charges against an individual whenever mental illness or competency to stand trial has become an issue.</w:t>
      </w:r>
    </w:p>
    <w:p>
      <w:pPr>
        <w:spacing w:before="0" w:after="0" w:line="408" w:lineRule="exact"/>
        <w:ind w:left="0" w:right="0" w:firstLine="576"/>
        <w:jc w:val="left"/>
      </w:pPr>
      <w:r>
        <w:rPr/>
        <w:t xml:space="preserve">(9)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0" w:after="0" w:line="408" w:lineRule="exact"/>
        <w:ind w:left="0" w:right="0" w:firstLine="576"/>
        <w:jc w:val="left"/>
      </w:pPr>
      <w:r>
        <w:rPr>
          <w:u w:val="single"/>
        </w:rPr>
        <w:t xml:space="preserve">(7) The Washington association of sheriffs and police chiefs shall collect and maintain a file of written local law enforcement diversion guidelines for behavioral health developed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 or</w:t>
      </w:r>
    </w:p>
    <w:p>
      <w:pPr>
        <w:spacing w:before="0" w:after="0" w:line="408" w:lineRule="exact"/>
        <w:ind w:left="0" w:right="0" w:firstLine="576"/>
        <w:jc w:val="left"/>
      </w:pPr>
      <w:r>
        <w:rPr>
          <w:strike/>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The court may order the defendant to receive inpatient competency restoration or outpatient competency restoration based on the clinical recommendation in the competency evaluation.</w:t>
      </w:r>
    </w:p>
    <w:p>
      <w:pPr>
        <w:spacing w:before="0" w:after="0" w:line="408" w:lineRule="exact"/>
        <w:ind w:left="0" w:right="0" w:firstLine="576"/>
        <w:jc w:val="left"/>
      </w:pPr>
      <w:r>
        <w:rPr>
          <w:u w:val="single"/>
        </w:rPr>
        <w:t xml:space="preserve">(A) To be eligible for an order for outpatient competency restoration, a defendant must be:</w:t>
      </w:r>
    </w:p>
    <w:p>
      <w:pPr>
        <w:spacing w:before="0" w:after="0" w:line="408" w:lineRule="exact"/>
        <w:ind w:left="0" w:right="0" w:firstLine="576"/>
        <w:jc w:val="left"/>
      </w:pPr>
      <w:r>
        <w:rPr>
          <w:u w:val="single"/>
        </w:rPr>
        <w:t xml:space="preserve">(I) Adherent to medications or willing to receive prescribed intravenous medication;</w:t>
      </w:r>
    </w:p>
    <w:p>
      <w:pPr>
        <w:spacing w:before="0" w:after="0" w:line="408" w:lineRule="exact"/>
        <w:ind w:left="0" w:right="0" w:firstLine="576"/>
        <w:jc w:val="left"/>
      </w:pPr>
      <w:r>
        <w:rPr>
          <w:u w:val="single"/>
        </w:rPr>
        <w:t xml:space="preserve">(II) Abstinent from alcohol or unprescribed drugs; and</w:t>
      </w:r>
    </w:p>
    <w:p>
      <w:pPr>
        <w:spacing w:before="0" w:after="0" w:line="408" w:lineRule="exact"/>
        <w:ind w:left="0" w:right="0" w:firstLine="576"/>
        <w:jc w:val="left"/>
      </w:pPr>
      <w:r>
        <w:rPr>
          <w:u w:val="single"/>
        </w:rPr>
        <w:t xml:space="preserve">(III) Clinically stable.</w:t>
      </w:r>
    </w:p>
    <w:p>
      <w:pPr>
        <w:spacing w:before="0" w:after="0" w:line="408" w:lineRule="exact"/>
        <w:ind w:left="0" w:right="0" w:firstLine="576"/>
        <w:jc w:val="left"/>
      </w:pPr>
      <w:r>
        <w:rPr>
          <w:u w:val="single"/>
        </w:rPr>
        <w:t xml:space="preserve">(B) If the court orders inpatient competency restoration, the department shall place the defendant in an appropriate facility of the department for evaluation and treatment.</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must establish conditions of participation in the outpatient competency restoration program which must include the defendant being subject to medication monitoring and daily urinalysis.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possible in that setting, the department shall remove the defendant from the outpatient restoration program and place the defendant instead in an appropriate facility of the department for inpatient competency restoration. The department shall promptly notify the court and parties and the forensic navigator, if applicable, of the change in placement. The inpatient competency restoration period following a change in placement under this subsection must be for the time remaining on the current competency restoration order.</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must schedule a hearing to determine whether to enter an order of competency restoration.</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and any history that suggests whether or not competency restoration treatment is likely to be successful.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r>
        <w:rPr/>
        <w:t xml:space="preserve"> </w:t>
      </w:r>
      <w:r>
        <w:t>((</w:t>
      </w:r>
      <w:r>
        <w:rPr>
          <w:strike/>
        </w:rPr>
        <w:t xml:space="preserve">(i)</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The court may order the defendant to receive inpatient competency restoration or outpatient competency restoration based on the clinical recommendation in the competency evaluation.</w:t>
      </w:r>
    </w:p>
    <w:p>
      <w:pPr>
        <w:spacing w:before="0" w:after="0" w:line="408" w:lineRule="exact"/>
        <w:ind w:left="0" w:right="0" w:firstLine="576"/>
        <w:jc w:val="left"/>
      </w:pPr>
      <w:r>
        <w:rPr>
          <w:u w:val="single"/>
        </w:rPr>
        <w:t xml:space="preserve">(i) To be eligible for an order for outpatient competency restoration, a defendant must be:</w:t>
      </w:r>
    </w:p>
    <w:p>
      <w:pPr>
        <w:spacing w:before="0" w:after="0" w:line="408" w:lineRule="exact"/>
        <w:ind w:left="0" w:right="0" w:firstLine="576"/>
        <w:jc w:val="left"/>
      </w:pPr>
      <w:r>
        <w:rPr>
          <w:u w:val="single"/>
        </w:rPr>
        <w:t xml:space="preserve">(A) Adherent to medications or willing to receive prescribed intravenous medication;</w:t>
      </w:r>
    </w:p>
    <w:p>
      <w:pPr>
        <w:spacing w:before="0" w:after="0" w:line="408" w:lineRule="exact"/>
        <w:ind w:left="0" w:right="0" w:firstLine="576"/>
        <w:jc w:val="left"/>
      </w:pPr>
      <w:r>
        <w:rPr>
          <w:u w:val="single"/>
        </w:rPr>
        <w:t xml:space="preserve">(B) Abstinent from alcohol or unprescribed drugs; and</w:t>
      </w:r>
    </w:p>
    <w:p>
      <w:pPr>
        <w:spacing w:before="0" w:after="0" w:line="408" w:lineRule="exact"/>
        <w:ind w:left="0" w:right="0" w:firstLine="576"/>
        <w:jc w:val="left"/>
      </w:pPr>
      <w:r>
        <w:rPr>
          <w:u w:val="single"/>
        </w:rPr>
        <w:t xml:space="preserve">(C) Clinically stable.</w:t>
      </w:r>
    </w:p>
    <w:p>
      <w:pPr>
        <w:spacing w:before="0" w:after="0" w:line="408" w:lineRule="exact"/>
        <w:ind w:left="0" w:right="0" w:firstLine="576"/>
        <w:jc w:val="left"/>
      </w:pPr>
      <w:r>
        <w:rPr>
          <w:u w:val="single"/>
        </w:rPr>
        <w:t xml:space="preserve">(ii) If the court orders inpatient competency restoration, the department shall place the defendant in an appropriate facility of the department for evaluation and treatment under (b) of this subsection.</w:t>
      </w:r>
    </w:p>
    <w:p>
      <w:pPr>
        <w:spacing w:before="0" w:after="0" w:line="408" w:lineRule="exact"/>
        <w:ind w:left="0" w:right="0" w:firstLine="576"/>
        <w:jc w:val="left"/>
      </w:pPr>
      <w:r>
        <w:rPr>
          <w:u w:val="single"/>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shall establish conditions of participation in the outpatient competency restoration program which must include the defendant being subject to medication monitoring and daily urinalysis.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(iv) If a defendant fails to comply with the restrictions of the outpatient competency restoration program, such that restoration is no longer possible in that setting, the department shall remove the defendant from the outpatient restoration program and place the defendant instead in an appropriate facility of the department for inpatient competency restoration. The department shall promptly notify the court and parties and the forensic navigator, if applicable, of the change in placement. The inpatient competency restoration period following a change in placement under this subsection must be for the time remaining on the current competency restoration order.</w:t>
      </w:r>
    </w:p>
    <w:p>
      <w:pPr>
        <w:spacing w:before="0" w:after="0" w:line="408" w:lineRule="exact"/>
        <w:ind w:left="0" w:right="0" w:firstLine="576"/>
        <w:jc w:val="left"/>
      </w:pPr>
      <w:r>
        <w:rPr>
          <w:u w:val="single"/>
        </w:rPr>
        <w:t xml:space="preserve">(v) The court may not issue an order for outpatient competency restoration unless the department certifies that there is an available appropriate outpatient restoration program that has adequate space for the person at the time the order is issued.</w:t>
      </w:r>
    </w:p>
    <w:p>
      <w:pPr>
        <w:spacing w:before="0" w:after="0" w:line="408" w:lineRule="exact"/>
        <w:ind w:left="0" w:right="0" w:firstLine="576"/>
        <w:jc w:val="left"/>
      </w:pPr>
      <w:r>
        <w:rPr>
          <w:u w:val="single"/>
        </w:rPr>
        <w:t xml:space="preserve">(b)</w:t>
      </w:r>
      <w:r>
        <w:rPr/>
        <w:t xml:space="preserve"> The placement under (a) </w:t>
      </w:r>
      <w:r>
        <w:t>((</w:t>
      </w:r>
      <w:r>
        <w:rPr>
          <w:strike/>
        </w:rPr>
        <w:t xml:space="preserve">(i) 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t xml:space="preserve"> </w:t>
      </w:r>
      <w:r>
        <w:rPr>
          <w:u w:val="single"/>
        </w:rPr>
        <w:t xml:space="preserve">if the defendant is ordered to receive inpatient competency restoration, or shall not exceed ninety days if the defendant is ordered to receive outpatient competency restoration. The court may order any combination of this subsection.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w:t>
      </w:r>
      <w:r>
        <w:t>((</w:t>
      </w:r>
      <w:r>
        <w:rPr>
          <w:strike/>
        </w:rPr>
        <w:t xml:space="preserve">or the parties agree</w:t>
      </w:r>
      <w:r>
        <w:t>))</w:t>
      </w:r>
      <w:r>
        <w:rPr/>
        <w:t xml:space="preserv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
      <w:pPr>
        <w:jc w:val="center"/>
      </w:pPr>
      <w:r>
        <w:rPr>
          <w:b/>
        </w:rPr>
        <w:t>--- END ---</w:t>
      </w:r>
    </w:p>
    <w:sectPr>
      <w:pgNumType w:start="1"/>
      <w:footerReference xmlns:r="http://schemas.openxmlformats.org/officeDocument/2006/relationships" r:id="R0bce7d04c8fd42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d7cd778564fe4" /><Relationship Type="http://schemas.openxmlformats.org/officeDocument/2006/relationships/footer" Target="/word/footer1.xml" Id="R0bce7d04c8fd4219" /></Relationships>
</file>