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75e1005624ce9" /></Relationships>
</file>

<file path=word/document.xml><?xml version="1.0" encoding="utf-8"?>
<w:document xmlns:w="http://schemas.openxmlformats.org/wordprocessingml/2006/main">
  <w:body>
    <w:p>
      <w:r>
        <w:t>S-0598.1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5448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Senators Wellman, Hunt, Zeiger, Padden, McCoy, Conway, Dhingra, Hasegawa, Keiser, Nguyen, and Wilson, C.</w:t>
      </w:r>
    </w:p>
    <w:p/>
    <w:p>
      <w:r>
        <w:rPr>
          <w:t xml:space="preserve">Read first time 01/21/19.  </w:t>
        </w:rPr>
      </w:r>
      <w:r>
        <w:rPr>
          <w:t xml:space="preserve">Referred to Committee on Early Learning &amp; K-12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career and technical education in alternative learning experience programs; and amending RCW 28A.232.020.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232</w:t>
      </w:r>
      <w:r>
        <w:rPr/>
        <w:t xml:space="preserve">.</w:t>
      </w:r>
      <w:r>
        <w:t xml:space="preserve">020</w:t>
      </w:r>
      <w:r>
        <w:rPr/>
        <w:t xml:space="preserve"> and 2013 2nd sp.s. c 18 s 503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The superintendent of public instruction shall separately calculate and allocate moneys appropriated under RCW 28A.150.260 to school districts for each full-time equivalent student enrolled in an alternative learning experience course. The calculation shall be based on the estimated statewide annual average allocation per full-time equivalent student in grades nine through twelve in general education, excluding small high school enhancements, and including applicable rules and provisions of the omnibus appropriations act.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addition to the allocation provided under subsection (1) of this section, if the course is a vocational alternative learning experience course, the allocated state funding shall also include vocational program funding enhancement, subject to RCW 28A.150.265.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93629f3864749f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5448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fc922b2d64e16" /><Relationship Type="http://schemas.openxmlformats.org/officeDocument/2006/relationships/footer" Target="/word/footer1.xml" Id="R593629f3864749f6" /></Relationships>
</file>