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b5d1d2af749d4" /></Relationships>
</file>

<file path=word/document.xml><?xml version="1.0" encoding="utf-8"?>
<w:document xmlns:w="http://schemas.openxmlformats.org/wordprocessingml/2006/main">
  <w:body>
    <w:p>
      <w:r>
        <w:t>S-0909.1</w:t>
      </w:r>
    </w:p>
    <w:p>
      <w:pPr>
        <w:jc w:val="center"/>
      </w:pPr>
      <w:r>
        <w:t>_______________________________________________</w:t>
      </w:r>
    </w:p>
    <w:p/>
    <w:p>
      <w:pPr>
        <w:jc w:val="center"/>
      </w:pPr>
      <w:r>
        <w:rPr>
          <w:b/>
        </w:rPr>
        <w:t>SENATE BILL 5478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Keiser, Conway, Hunt, Pedersen, Kuderer, and McCoy</w:t>
      </w:r>
    </w:p>
    <w:p/>
    <w:p>
      <w:r>
        <w:rPr>
          <w:t xml:space="preserve">Read first time 01/22/19.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"Average annual wage" means the average annual wage as established under RCW 50.04.355.</w:t>
      </w:r>
    </w:p>
    <w:p>
      <w:pPr>
        <w:spacing w:before="0" w:after="0" w:line="408" w:lineRule="exact"/>
        <w:ind w:left="0" w:right="0" w:firstLine="576"/>
        <w:jc w:val="left"/>
      </w:pPr>
      <w:r>
        <w:rPr/>
        <w:t xml:space="preserve">(2) "Earnings" means the unconditionally promised monetary compensation and educational debt repayment, excluding all other benefits or remuneration, plus the value of the publicly traded stock awarded, annualized and calculated as of the date a noncompetition covenant is signed by both parties. The value of publicly traded stock shall be determined as follows:</w:t>
      </w:r>
    </w:p>
    <w:p>
      <w:pPr>
        <w:spacing w:before="0" w:after="0" w:line="408" w:lineRule="exact"/>
        <w:ind w:left="0" w:right="0" w:firstLine="576"/>
        <w:jc w:val="left"/>
      </w:pPr>
      <w:r>
        <w:rPr/>
        <w:t xml:space="preserve">(a) For shares fully vested on the grant date, the value is the number of shares multiplied by the market price on the date the covenant is signed; and</w:t>
      </w:r>
    </w:p>
    <w:p>
      <w:pPr>
        <w:spacing w:before="0" w:after="0" w:line="408" w:lineRule="exact"/>
        <w:ind w:left="0" w:right="0" w:firstLine="576"/>
        <w:jc w:val="left"/>
      </w:pPr>
      <w:r>
        <w:rPr/>
        <w:t xml:space="preserve">(b) For unvested shares, the value is the number of shares multiplied by the market price on the date the covenant is signed, divided by the vesting period and then divided by two.</w:t>
      </w:r>
    </w:p>
    <w:p>
      <w:pPr>
        <w:spacing w:before="0" w:after="0" w:line="408" w:lineRule="exact"/>
        <w:ind w:left="0" w:right="0" w:firstLine="576"/>
        <w:jc w:val="left"/>
      </w:pPr>
      <w:r>
        <w:rPr/>
        <w:t xml:space="preserve">(3) "Employee" and "employer" have the same meanings as in RCW 49.17.020.</w:t>
      </w:r>
    </w:p>
    <w:p>
      <w:pPr>
        <w:spacing w:before="0" w:after="0" w:line="408" w:lineRule="exact"/>
        <w:ind w:left="0" w:right="0" w:firstLine="576"/>
        <w:jc w:val="left"/>
      </w:pPr>
      <w:r>
        <w:rPr/>
        <w:t xml:space="preserve">(4) "Franchisor" and "franchisee" have the same meanings as in RCW 19.100.010.</w:t>
      </w:r>
    </w:p>
    <w:p>
      <w:pPr>
        <w:spacing w:before="0" w:after="0" w:line="408" w:lineRule="exact"/>
        <w:ind w:left="0" w:right="0" w:firstLine="576"/>
        <w:jc w:val="left"/>
      </w:pPr>
      <w:r>
        <w:rPr/>
        <w:t xml:space="preserve">(5)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(d) a covenant entered into by a person selling the goodwill of a business or otherwise disposing of an ownership interest; or (e) a covenant entered into by a franchisee when the franchise sale complies with RCW 19.100.020(1).</w:t>
      </w:r>
    </w:p>
    <w:p>
      <w:pPr>
        <w:spacing w:before="0" w:after="0" w:line="408" w:lineRule="exact"/>
        <w:ind w:left="0" w:right="0" w:firstLine="576"/>
        <w:jc w:val="left"/>
      </w:pPr>
      <w:r>
        <w:rPr/>
        <w:t xml:space="preserve">(6)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(7)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11 of this act,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exceed three times the average annual wage.</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11 of this act:</w:t>
      </w:r>
    </w:p>
    <w:p>
      <w:pPr>
        <w:spacing w:before="0" w:after="0" w:line="408" w:lineRule="exact"/>
        <w:ind w:left="0" w:right="0" w:firstLine="576"/>
        <w:jc w:val="left"/>
      </w:pPr>
      <w:r>
        <w:rPr/>
        <w:t xml:space="preserve">(1) A noncompetition covenant is void and unenforceable against an independent contractor unless the independent contractor's earnings from the party seeking enforcement exceed four times the average annual wage.</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one and one-half times the average annual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purposes of applying the consumer protection act, chapter 19.86 RCW. A violation of this chapter is not reasonable in relation to the development and preservation of business and is an unfair or deceptive act in trade or commerce, an unfair method of competition, and an unreasonable restraint of trade for purposes of applying the consumer protection act, chapter 19.86 RCW.</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act does not amend or modify chapter 19.108 RCW.</w:t>
      </w:r>
    </w:p>
    <w:p>
      <w:pPr>
        <w:spacing w:before="0" w:after="0" w:line="408" w:lineRule="exact"/>
        <w:ind w:left="0" w:right="0" w:firstLine="576"/>
        <w:jc w:val="left"/>
      </w:pPr>
      <w:r>
        <w:rPr/>
        <w:t xml:space="preserve">(2) Except as otherwise provided in this chapter, this act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proceedings commenced on or after the effective date of this section, regardless of when the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including an institution of higher education, and a local government may not impose a noncompetition covenant on an employee or independent contractor. Any noncompetition covenant with an employee or independent contractor in effect or entered into on or after the effective date of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2690d378cb3443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9749af5f6471d" /><Relationship Type="http://schemas.openxmlformats.org/officeDocument/2006/relationships/footer" Target="/word/footer1.xml" Id="R2690d378cb344356" /></Relationships>
</file>