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6dcf598c444b4e" /></Relationships>
</file>

<file path=word/document.xml><?xml version="1.0" encoding="utf-8"?>
<w:document xmlns:w="http://schemas.openxmlformats.org/wordprocessingml/2006/main">
  <w:body>
    <w:p>
      <w:r>
        <w:t>S-0732.1</w:t>
      </w:r>
    </w:p>
    <w:p>
      <w:pPr>
        <w:jc w:val="center"/>
      </w:pPr>
      <w:r>
        <w:t>_______________________________________________</w:t>
      </w:r>
    </w:p>
    <w:p/>
    <w:p>
      <w:pPr>
        <w:jc w:val="center"/>
      </w:pPr>
      <w:r>
        <w:rPr>
          <w:b/>
        </w:rPr>
        <w:t>SENATE BILL 5481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Sheldon, Short, Van De Wege, Honeyford, Wagoner, Fortunato, and Holy</w:t>
      </w:r>
    </w:p>
    <w:p/>
    <w:p>
      <w:r>
        <w:rPr>
          <w:t xml:space="preserve">Read first time 01/22/19.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coalition of commissioned officers, detectives, and sergeants of the department of fish and wildlife for the purposes of collective bargaining, including interest arbitration; amending RCW 41.56.030; and adding new sections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0" w:after="0" w:line="408" w:lineRule="exact"/>
        <w:ind w:left="0" w:right="0" w:firstLine="576"/>
        <w:jc w:val="left"/>
      </w:pPr>
      <w:r>
        <w:rPr>
          <w:u w:val="single"/>
        </w:rPr>
        <w:t xml:space="preserve">(14) "Fish and wildlife officer" means a fish and wildlife officer as defined in RCW 77.08.010 who ranks below a captain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a subcommittee of the joint committee on employment relations created in RCW 41.80.007 which shall consist of two members with leadership positions in the house of representatives, representing each of the two largest caucuses; the chair and the ranking minority member of the house appropriations committee, or it's successor, representing each of the two largest caucuses; two members with leadership positions in the senate, representing each of the two largest caucuses; the chair and ranking minority member of the senate ways and means committee, or it's successor, representing each of the two largest caucuses; and one nonvoting member, appointed by the governor, representing the office of financial management; or any such successor committee for the joint committee on employment relations. The subcommittee must be consulted regarding the appropriations necessary to implement these provisions in a collective bargaining agreement and, on completion of negotiations, must be advised on the elements of these provisions.</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NumType w:start="1"/>
      <w:footerReference xmlns:r="http://schemas.openxmlformats.org/officeDocument/2006/relationships" r:id="Raddf046cd92448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293d962834ef1" /><Relationship Type="http://schemas.openxmlformats.org/officeDocument/2006/relationships/footer" Target="/word/footer1.xml" Id="Raddf046cd9244869" /></Relationships>
</file>