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e22fdfafc438a" /></Relationships>
</file>

<file path=word/document.xml><?xml version="1.0" encoding="utf-8"?>
<w:document xmlns:w="http://schemas.openxmlformats.org/wordprocessingml/2006/main">
  <w:body>
    <w:p>
      <w:r>
        <w:t>S-0728.1</w:t>
      </w:r>
    </w:p>
    <w:p>
      <w:pPr>
        <w:jc w:val="center"/>
      </w:pPr>
      <w:r>
        <w:t>_______________________________________________</w:t>
      </w:r>
    </w:p>
    <w:p/>
    <w:p>
      <w:pPr>
        <w:jc w:val="center"/>
      </w:pPr>
      <w:r>
        <w:rPr>
          <w:b/>
        </w:rPr>
        <w:t>SENATE BILL 5496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Hunt</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w:t>
      </w:r>
      <w:r>
        <w:t>((</w:t>
      </w:r>
      <w:r>
        <w:rPr>
          <w:strike/>
        </w:rPr>
        <w:t xml:space="preserve">active registered voters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w:t>
      </w:r>
      <w:r>
        <w:rPr>
          <w:u w:val="single"/>
        </w:rPr>
        <w:t xml:space="preserve">and</w:t>
      </w:r>
      <w:r>
        <w:rPr/>
        <w:t xml:space="preserve">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29A.16.040(3), the requirement for contiguity may be suspended in the case of (a) an unincorporated area entirely surrounded by incorporated territory, and (b) incorporated areas that are geographically separated from the remainder of the city or town of which they are a part.</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jurisdictional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f3730fab263148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948fd1cb3475d" /><Relationship Type="http://schemas.openxmlformats.org/officeDocument/2006/relationships/footer" Target="/word/footer1.xml" Id="Rf3730fab26314887" /></Relationships>
</file>