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3a9d92a224153" /></Relationships>
</file>

<file path=word/document.xml><?xml version="1.0" encoding="utf-8"?>
<w:document xmlns:w="http://schemas.openxmlformats.org/wordprocessingml/2006/main">
  <w:body>
    <w:p>
      <w:r>
        <w:t>S-0084.3</w:t>
      </w:r>
    </w:p>
    <w:p>
      <w:pPr>
        <w:jc w:val="center"/>
      </w:pPr>
      <w:r>
        <w:t>_______________________________________________</w:t>
      </w:r>
    </w:p>
    <w:p/>
    <w:p>
      <w:pPr>
        <w:jc w:val="center"/>
      </w:pPr>
      <w:r>
        <w:rPr>
          <w:b/>
        </w:rPr>
        <w:t>SENATE BILL 5537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Keiser, Darneille, Palumbo, Frockt, Rolfes, Conway, Becker, Brown, Wagoner, Warnick, Honeyford, Cleveland, Dhingra, O'Ban, and Zeiger</w:t>
      </w:r>
    </w:p>
    <w:p/>
    <w:p>
      <w:r>
        <w:rPr>
          <w:t xml:space="preserve">Read first time 01/23/19.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community-based behavioral health facilities through issuance of state bonds; adding a new chapter to Title 43 RCW;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COMMUNITY-BASED BEHAVIORAL HEALTH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there is a growing need for high quality community behavioral health services. The growing demand for state hospital beds has strained the state's capacity to provide sufficient services in both the state hospitals and in the community for individuals suffering from acute behavioral and substance use disorders. The legislature intends to address the needs of adults and children with behavioral health disorders through a comprehensive set of evidence-based practices that are effective in serving individuals in their community and will reduce the need for placements in and facilitate timely discharge from state mental hospitals.</w:t>
      </w:r>
    </w:p>
    <w:p>
      <w:pPr>
        <w:spacing w:before="0" w:after="0" w:line="408" w:lineRule="exact"/>
        <w:ind w:left="0" w:right="0" w:firstLine="576"/>
        <w:jc w:val="left"/>
      </w:pPr>
      <w:r>
        <w:rPr/>
        <w:t xml:space="preserve">The legislature finds further that local facilities and services that keep Washington residents closer to their families and communities improve outcomes. These services may be provided in community settings including, but not limited to, evaluation and treatment centers, crisis triage and stabilization centers, less restrictive alternative step-down beds, enhanced service facilities, detoxification centers, transitional and long-term housing, residential treatment centers, and other such facilities. Additional resources for these community settings help prevent the need for an inpatient level of care at a state hospital or other long-term inpatient hospital setting.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For the purposes of providing needed capital improvements to increase behavioral health services for adults and children in community settings, the state finance committee is authorized to issue general obligation bonds of the state of Washington in the sum of five hundred million dollars, or so much thereof as may be required, to finance all or a part of the cost of these projects and all costs incidental thereto. The bonds issued under the authority of this section shall be known as Washington behavioral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201 of this act shall be deposited in the community behavioral health bond account, created in section 402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community behavioral health taxable bond account created in section 401 of this act. The state treasurer shall submit written notice to the director of financial management if it is determined that any transfer to the community behavioral health taxable bond account is necessary or that a transfer from the community behavioral health taxable bond account to the community behavioral health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secretary of state shall submit section 201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 201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community-based behavioral health facilities throughout the state. This bill would authorize bonds to expand community-based behavioral health facilities to serve and treat adults and children with behavioral health disorders."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community behavioral health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community-based behavioral health facilities for adults or children,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behavioral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community-based behavioral health facilities for adults or children including, but not limited to, evaluation and treatment centers, crisis triage and stabilization centers, less restrictive alternative step-down beds, enhanced service facilities, detoxification centers, transitional and long-term housing, and residential treatment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206, 401, and 402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6209100dad0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eb8022ce74878" /><Relationship Type="http://schemas.openxmlformats.org/officeDocument/2006/relationships/footer" Target="/word/footer1.xml" Id="R56209100dad04313" /></Relationships>
</file>