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914b0b79d438b" /></Relationships>
</file>

<file path=word/document.xml><?xml version="1.0" encoding="utf-8"?>
<w:document xmlns:w="http://schemas.openxmlformats.org/wordprocessingml/2006/main">
  <w:body>
    <w:p>
      <w:r>
        <w:t>S-1648.1</w:t>
      </w:r>
    </w:p>
    <w:p>
      <w:pPr>
        <w:jc w:val="center"/>
      </w:pPr>
      <w:r>
        <w:t>_______________________________________________</w:t>
      </w:r>
    </w:p>
    <w:p/>
    <w:p>
      <w:pPr>
        <w:jc w:val="center"/>
      </w:pPr>
      <w:r>
        <w:rPr>
          <w:b/>
        </w:rPr>
        <w:t>SUBSTITUTE SENATE BILL 5581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Braun, Carlyle, Keiser, and Saldaña; by request of Department of Revenue)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state tax laws by clarifying and simplifying nexus provisions, by decreasing compliance and administrative burdens for taxpayers and the department of revenue, by facilitating the collection of new tax revenue resulting from the United States supreme court's decision in South Dakota v. Wayfair, Inc., by providing more consistent tax obligations for both domestic and foreign sellers, and by simplifying the expiration of sales tax sourcing mitigation payments to local governments on September 30, 2019; amending RCW 82.04.067, 82.04.067, 82.04.220, 82.08.010, 82.08.052, 82.08.0531, 82.32.045, 82.08.0293, 82.32.020, 82.32.715, 82.32.762, 34.05.328, 82.04.610, 82.14.500, 34.05.010, 82.04.066, 82.04.43391, and 82.12.040; adding new sections to chapter 82.02 RCW; repealing RCW 82.08.053, 82.13.010, 82.13.020, 82.13.030, 82.13.040, 82.13.050, 82.32.047, 82.32.733, and 82.32.763; creating new sections;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w:t>
      </w:r>
      <w:r>
        <w:rPr>
          <w:u w:val="single"/>
        </w:rPr>
        <w:t xml:space="preserve">s 82.04 and</w:t>
      </w:r>
      <w:r>
        <w:rPr/>
        <w:t xml:space="preserve">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w:t>
      </w:r>
      <w:r>
        <w:t>((</w:t>
      </w:r>
      <w:r>
        <w:rPr>
          <w:strike/>
        </w:rPr>
        <w:t xml:space="preserve">shall</w:t>
      </w:r>
      <w:r>
        <w:t>))</w:t>
      </w:r>
      <w:r>
        <w:rPr/>
        <w:t xml:space="preserve"> </w:t>
      </w:r>
      <w:r>
        <w:rPr>
          <w:u w:val="single"/>
        </w:rPr>
        <w:t xml:space="preserve">may</w:t>
      </w:r>
      <w:r>
        <w:rPr/>
        <w:t xml:space="preserve">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w:t>
      </w:r>
      <w:r>
        <w:rPr>
          <w:u w:val="single"/>
        </w:rPr>
        <w:t xml:space="preserve">:</w:t>
      </w:r>
    </w:p>
    <w:p>
      <w:pPr>
        <w:spacing w:before="0" w:after="0" w:line="408" w:lineRule="exact"/>
        <w:ind w:left="0" w:right="0" w:firstLine="576"/>
        <w:jc w:val="left"/>
      </w:pPr>
      <w:r>
        <w:rPr>
          <w:u w:val="single"/>
        </w:rPr>
        <w:t xml:space="preserve">(a) T</w:t>
      </w:r>
      <w:r>
        <w:rPr/>
        <w:t xml:space="preserve">he sale of tangible personal property in </w:t>
      </w:r>
      <w:r>
        <w:t>((</w:t>
      </w:r>
      <w:r>
        <w:rPr>
          <w:strike/>
        </w:rPr>
        <w:t xml:space="preserve">import or</w:t>
      </w:r>
      <w:r>
        <w:t>))</w:t>
      </w:r>
      <w:r>
        <w:rPr/>
        <w:t xml:space="preserve"> export commerce</w:t>
      </w:r>
      <w:r>
        <w:rPr>
          <w:u w:val="single"/>
        </w:rPr>
        <w:t xml:space="preserve">; and</w:t>
      </w:r>
    </w:p>
    <w:p>
      <w:pPr>
        <w:spacing w:before="0" w:after="0" w:line="408" w:lineRule="exact"/>
        <w:ind w:left="0" w:right="0" w:firstLine="576"/>
        <w:jc w:val="left"/>
      </w:pPr>
      <w:r>
        <w:rPr>
          <w:u w:val="single"/>
        </w:rPr>
        <w:t xml:space="preserve">(b) The wholesale sale of tangible personal property in import commerce, but only when the wholesale sale is between a parent company and its wholly owned subsidiary</w:t>
      </w:r>
      <w:r>
        <w:rPr/>
        <w:t xml:space="preserve">.</w:t>
      </w:r>
    </w:p>
    <w:p>
      <w:pPr>
        <w:spacing w:before="0" w:after="0" w:line="408" w:lineRule="exact"/>
        <w:ind w:left="0" w:right="0" w:firstLine="576"/>
        <w:jc w:val="left"/>
      </w:pPr>
      <w:r>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t xml:space="preserve">(a) Put to actual use in any state, territory, or possession of the United States for any purpose;</w:t>
      </w:r>
    </w:p>
    <w:p>
      <w:pPr>
        <w:spacing w:before="0" w:after="0" w:line="408" w:lineRule="exact"/>
        <w:ind w:left="0" w:right="0" w:firstLine="576"/>
        <w:jc w:val="left"/>
      </w:pPr>
      <w:r>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t xml:space="preserve">(3)(a)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t xml:space="preserve">(b) The exemption under this subsection (3)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t xml:space="preserve">(4) Persons claiming an exemption under this section must keep and maintain records for the period required by RCW 82.32.070 establishing their right to the exemption.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
      <w:pPr>
        <w:jc w:val="center"/>
      </w:pPr>
      <w:r>
        <w:rPr>
          <w:b/>
        </w:rPr>
        <w:t>--- END ---</w:t>
      </w:r>
    </w:p>
    <w:sectPr>
      <w:pgNumType w:start="1"/>
      <w:footerReference xmlns:r="http://schemas.openxmlformats.org/officeDocument/2006/relationships" r:id="Rf81cf7cc56bd42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7ab02dd55427e" /><Relationship Type="http://schemas.openxmlformats.org/officeDocument/2006/relationships/footer" Target="/word/footer1.xml" Id="Rf81cf7cc56bd424f" /></Relationships>
</file>