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9a8eac22c34413" /></Relationships>
</file>

<file path=word/document.xml><?xml version="1.0" encoding="utf-8"?>
<w:document xmlns:w="http://schemas.openxmlformats.org/wordprocessingml/2006/main">
  <w:body>
    <w:p>
      <w:r>
        <w:t>S-0827.1</w:t>
      </w:r>
    </w:p>
    <w:p>
      <w:pPr>
        <w:jc w:val="center"/>
      </w:pPr>
      <w:r>
        <w:t>_______________________________________________</w:t>
      </w:r>
    </w:p>
    <w:p/>
    <w:p>
      <w:pPr>
        <w:jc w:val="center"/>
      </w:pPr>
      <w:r>
        <w:rPr>
          <w:b/>
        </w:rPr>
        <w:t>SENATE BILL 5608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Ericksen, Fortunato, Wilson, L., Bailey, Becker, Brown, Zeiger, Short, Honeyford, Padden, and Rivers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lowering the ceiling of the business and occupation manufacturing tax rate to 0.2904 percent; amending RCW 82.04.240, 82.04.240, 82.04.280, and 82.32.790; creating new sections; providing a contingent effective date;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this act. The change in tax base created by this act is intended to be permanent.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create and retain jobs, improve industry competitiveness, and reduce structural inefficiencies, as indicated in RCW 82.32.808(2) (b) through (d).</w:t>
      </w:r>
    </w:p>
    <w:p>
      <w:pPr>
        <w:spacing w:before="0" w:after="0" w:line="408" w:lineRule="exact"/>
        <w:ind w:left="0" w:right="0" w:firstLine="576"/>
        <w:jc w:val="left"/>
      </w:pPr>
      <w:r>
        <w:rPr/>
        <w:t xml:space="preserve">(3) The legislature finds that manufacturing is a vital part of Washington's economy, providing family wage jobs throughout the state, accompanied by a multiplier effect that often makes these employers hubs of their local communities. The legislature also finds that manufacturing jobs in Washington have been in decline, losing over fifty thousand jobs since the turn of the century. Over forty-five thousand jobs of the net jobs lost have occurred in nonaerospace manufacturing, which is generally subject to a tax rate forty percent higher than the aerospace industry in Washington. Therefore, it is the legislature's specific public policy to enhance taxpayer equity by lowering the business and occupation rate ceiling to 0.2904 for all manufacturers in the state in order to increase the sustainability of manufacturing in Washington as well as increase manufacturing's competitiveness around the world, thereby enabling manufacturing to continue to be a critical and hopefully growing source of family wage jobs throughout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spacing w:before="0" w:after="0" w:line="408" w:lineRule="exact"/>
        <w:ind w:left="0" w:right="0" w:firstLine="576"/>
        <w:jc w:val="left"/>
      </w:pPr>
      <w:r>
        <w:rPr>
          <w:u w:val="single"/>
        </w:rPr>
        <w:t xml:space="preserve">(1)</w:t>
      </w:r>
      <w:r>
        <w:rPr/>
        <w:t xml:space="preserve"> Upon every person engaging within this state in business as a manufacturer, except persons taxable as manufacturers under other provisions of this chapter; as to such persons the amount of the tax with respect to such business shall be equal to the value of the products, including byproducts, manufactured, multiplied by the rate of </w:t>
      </w:r>
      <w:r>
        <w:t>((</w:t>
      </w:r>
      <w:r>
        <w:rPr>
          <w:strike/>
        </w:rPr>
        <w:t xml:space="preserve">0.484 percent</w:t>
      </w:r>
      <w:r>
        <w:t>))</w:t>
      </w:r>
      <w:r>
        <w:rPr>
          <w:u w:val="single"/>
        </w:rPr>
        <w:t xml:space="preserve">:</w:t>
      </w:r>
    </w:p>
    <w:p>
      <w:pPr>
        <w:spacing w:before="0" w:after="0" w:line="408" w:lineRule="exact"/>
        <w:ind w:left="0" w:right="0" w:firstLine="576"/>
        <w:jc w:val="left"/>
      </w:pPr>
      <w:r>
        <w:rPr>
          <w:u w:val="single"/>
        </w:rPr>
        <w:t xml:space="preserve">(a) 0.484 percent through December 31, 2019;</w:t>
      </w:r>
    </w:p>
    <w:p>
      <w:pPr>
        <w:spacing w:before="0" w:after="0" w:line="408" w:lineRule="exact"/>
        <w:ind w:left="0" w:right="0" w:firstLine="576"/>
        <w:jc w:val="left"/>
      </w:pPr>
      <w:r>
        <w:rPr>
          <w:u w:val="single"/>
        </w:rPr>
        <w:t xml:space="preserve">(b) 0.4356 percent from January 1, 2020, through December 31, 2020;</w:t>
      </w:r>
    </w:p>
    <w:p>
      <w:pPr>
        <w:spacing w:before="0" w:after="0" w:line="408" w:lineRule="exact"/>
        <w:ind w:left="0" w:right="0" w:firstLine="576"/>
        <w:jc w:val="left"/>
      </w:pPr>
      <w:r>
        <w:rPr>
          <w:u w:val="single"/>
        </w:rPr>
        <w:t xml:space="preserve">(c) 0.3872 percent from January 1, 2021, through December 31, 2021;</w:t>
      </w:r>
    </w:p>
    <w:p>
      <w:pPr>
        <w:spacing w:before="0" w:after="0" w:line="408" w:lineRule="exact"/>
        <w:ind w:left="0" w:right="0" w:firstLine="576"/>
        <w:jc w:val="left"/>
      </w:pPr>
      <w:r>
        <w:rPr>
          <w:u w:val="single"/>
        </w:rPr>
        <w:t xml:space="preserve">(d) 0.3388 percent from January 1, 2022, through December 31, 2022; and</w:t>
      </w:r>
    </w:p>
    <w:p>
      <w:pPr>
        <w:spacing w:before="0" w:after="0" w:line="408" w:lineRule="exact"/>
        <w:ind w:left="0" w:right="0" w:firstLine="576"/>
        <w:jc w:val="left"/>
      </w:pPr>
      <w:r>
        <w:rPr>
          <w:u w:val="single"/>
        </w:rPr>
        <w:t xml:space="preserve">(e) 0.2904 percent from January 1, 2023, and thereafter</w:t>
      </w:r>
      <w:r>
        <w:rPr/>
        <w:t xml:space="preserve">.</w:t>
      </w:r>
    </w:p>
    <w:p>
      <w:pPr>
        <w:spacing w:before="0" w:after="0" w:line="408" w:lineRule="exact"/>
        <w:ind w:left="0" w:right="0" w:firstLine="576"/>
        <w:jc w:val="left"/>
      </w:pPr>
      <w:r>
        <w:rPr>
          <w:u w:val="single"/>
        </w:rPr>
        <w:t xml:space="preserve">(2)</w:t>
      </w:r>
      <w:r>
        <w:rPr/>
        <w:t xml:space="preserve"> The measure of the tax is the value of the products, including byproducts, so manufactured regardless of the place of sale or the fact that deliveries may be made to points outside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2017 3rd sp.s. c 37 s 518 are each amended to read as follows:</w:t>
      </w:r>
    </w:p>
    <w:p>
      <w:pPr>
        <w:spacing w:before="0" w:after="0" w:line="408" w:lineRule="exact"/>
        <w:ind w:left="0" w:right="0" w:firstLine="576"/>
        <w:jc w:val="left"/>
      </w:pPr>
      <w:r>
        <w:rPr/>
        <w:t xml:space="preserve">(1) Upon every person engaging within this state in business as a manufacturer, except persons taxable as manufacturers under other provisions of this chapter; as to such persons the amount of the tax with respect to such business is equal to the value of the products, including byproducts, manufactured, multiplied by the rate of </w:t>
      </w:r>
      <w:r>
        <w:t>((</w:t>
      </w:r>
      <w:r>
        <w:rPr>
          <w:strike/>
        </w:rPr>
        <w:t xml:space="preserve">0.484 percent</w:t>
      </w:r>
      <w:r>
        <w:t>))</w:t>
      </w:r>
      <w:r>
        <w:rPr>
          <w:u w:val="single"/>
        </w:rPr>
        <w:t xml:space="preserve">:</w:t>
      </w:r>
    </w:p>
    <w:p>
      <w:pPr>
        <w:spacing w:before="0" w:after="0" w:line="408" w:lineRule="exact"/>
        <w:ind w:left="0" w:right="0" w:firstLine="576"/>
        <w:jc w:val="left"/>
      </w:pPr>
      <w:r>
        <w:rPr>
          <w:u w:val="single"/>
        </w:rPr>
        <w:t xml:space="preserve">(a) 0.484 percent through December 31, 2019;</w:t>
      </w:r>
    </w:p>
    <w:p>
      <w:pPr>
        <w:spacing w:before="0" w:after="0" w:line="408" w:lineRule="exact"/>
        <w:ind w:left="0" w:right="0" w:firstLine="576"/>
        <w:jc w:val="left"/>
      </w:pPr>
      <w:r>
        <w:rPr>
          <w:u w:val="single"/>
        </w:rPr>
        <w:t xml:space="preserve">(b) 0.4356 percent from January 1, 2020, through December 31, 2020;</w:t>
      </w:r>
    </w:p>
    <w:p>
      <w:pPr>
        <w:spacing w:before="0" w:after="0" w:line="408" w:lineRule="exact"/>
        <w:ind w:left="0" w:right="0" w:firstLine="576"/>
        <w:jc w:val="left"/>
      </w:pPr>
      <w:r>
        <w:rPr>
          <w:u w:val="single"/>
        </w:rPr>
        <w:t xml:space="preserve">(c) 0.3872 percent from January 1, 2021, through December 31, 2021;</w:t>
      </w:r>
    </w:p>
    <w:p>
      <w:pPr>
        <w:spacing w:before="0" w:after="0" w:line="408" w:lineRule="exact"/>
        <w:ind w:left="0" w:right="0" w:firstLine="576"/>
        <w:jc w:val="left"/>
      </w:pPr>
      <w:r>
        <w:rPr>
          <w:u w:val="single"/>
        </w:rPr>
        <w:t xml:space="preserve">(d) 0.3388 percent from January 1, 2022, through December 31, 2022; and</w:t>
      </w:r>
    </w:p>
    <w:p>
      <w:pPr>
        <w:spacing w:before="0" w:after="0" w:line="408" w:lineRule="exact"/>
        <w:ind w:left="0" w:right="0" w:firstLine="576"/>
        <w:jc w:val="left"/>
      </w:pPr>
      <w:r>
        <w:rPr>
          <w:u w:val="single"/>
        </w:rPr>
        <w:t xml:space="preserve">(e) 0.2904 percent from January 1, 2023, and thereafter</w:t>
      </w:r>
      <w:r>
        <w:rPr/>
        <w:t xml:space="preserve">.</w:t>
      </w:r>
    </w:p>
    <w:p>
      <w:pPr>
        <w:spacing w:before="0" w:after="0" w:line="408" w:lineRule="exact"/>
        <w:ind w:left="0" w:right="0" w:firstLine="576"/>
        <w:jc w:val="left"/>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(2) must file a complete annual tax performance report with the department under RCW 82.32.534.</w:t>
      </w:r>
    </w:p>
    <w:p>
      <w:pPr>
        <w:spacing w:before="0" w:after="0" w:line="408" w:lineRule="exact"/>
        <w:ind w:left="0" w:right="0" w:firstLine="576"/>
        <w:jc w:val="left"/>
      </w:pPr>
      <w:r>
        <w:rPr/>
        <w:t xml:space="preserve">(3) The measure of the tax is the value of the products, including byproducts, so manufactured regardless of the place of sale or the fact that deliveries may be made to points outside the state.</w:t>
      </w:r>
    </w:p>
    <w:p>
      <w:pPr>
        <w:spacing w:before="0" w:after="0" w:line="408" w:lineRule="exact"/>
        <w:ind w:left="0" w:right="0" w:firstLine="576"/>
        <w:jc w:val="left"/>
      </w:pPr>
      <w:r>
        <w:rPr/>
        <w:t xml:space="preserve">(4) This section expires January 1, 2024,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2017 c 323 s 508 are each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w:t>
      </w:r>
      <w:r>
        <w:t>((</w:t>
      </w:r>
      <w:r>
        <w:rPr>
          <w:strike/>
        </w:rPr>
        <w:t xml:space="preserve">or processing for hire</w:t>
      </w:r>
      <w:r>
        <w:t>))</w:t>
      </w:r>
      <w:r>
        <w:rPr/>
        <w:t xml:space="preserve">, except persons taxable as extractors for hire </w:t>
      </w:r>
      <w:r>
        <w:t>((</w:t>
      </w:r>
      <w:r>
        <w:rPr>
          <w:strike/>
        </w:rPr>
        <w:t xml:space="preserve">or processors for hire</w:t>
      </w:r>
      <w:r>
        <w:t>))</w:t>
      </w:r>
      <w:r>
        <w:rPr/>
        <w:t xml:space="preserv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w:t>
      </w:r>
      <w:r>
        <w:rPr>
          <w:u w:val="single"/>
        </w:rPr>
        <w:t xml:space="preserve">Upon every person engaging within this state in the business of processing for hire, except persons taxable as processors for hire under another section of this chapter; as to such persons, the amount of tax on such business is equal to the gross income of the business multiplied by the rate of:</w:t>
      </w:r>
    </w:p>
    <w:p>
      <w:pPr>
        <w:spacing w:before="0" w:after="0" w:line="408" w:lineRule="exact"/>
        <w:ind w:left="0" w:right="0" w:firstLine="576"/>
        <w:jc w:val="left"/>
      </w:pPr>
      <w:r>
        <w:rPr>
          <w:u w:val="single"/>
        </w:rPr>
        <w:t xml:space="preserve">(a) 0.484 percent through December 31, 2019;</w:t>
      </w:r>
    </w:p>
    <w:p>
      <w:pPr>
        <w:spacing w:before="0" w:after="0" w:line="408" w:lineRule="exact"/>
        <w:ind w:left="0" w:right="0" w:firstLine="576"/>
        <w:jc w:val="left"/>
      </w:pPr>
      <w:r>
        <w:rPr>
          <w:u w:val="single"/>
        </w:rPr>
        <w:t xml:space="preserve">(b) 0.4356 percent from January 1, 2020, through December 31, 2020;</w:t>
      </w:r>
    </w:p>
    <w:p>
      <w:pPr>
        <w:spacing w:before="0" w:after="0" w:line="408" w:lineRule="exact"/>
        <w:ind w:left="0" w:right="0" w:firstLine="576"/>
        <w:jc w:val="left"/>
      </w:pPr>
      <w:r>
        <w:rPr>
          <w:u w:val="single"/>
        </w:rPr>
        <w:t xml:space="preserve">(c) 0.3872 percent from January 1, 2021, through December 31, 2021;</w:t>
      </w:r>
    </w:p>
    <w:p>
      <w:pPr>
        <w:spacing w:before="0" w:after="0" w:line="408" w:lineRule="exact"/>
        <w:ind w:left="0" w:right="0" w:firstLine="576"/>
        <w:jc w:val="left"/>
      </w:pPr>
      <w:r>
        <w:rPr>
          <w:u w:val="single"/>
        </w:rPr>
        <w:t xml:space="preserve">(d) 0.3388 percent from January 1, 2022, through December 31, 2022; and</w:t>
      </w:r>
    </w:p>
    <w:p>
      <w:pPr>
        <w:spacing w:before="0" w:after="0" w:line="408" w:lineRule="exact"/>
        <w:ind w:left="0" w:right="0" w:firstLine="576"/>
        <w:jc w:val="left"/>
      </w:pPr>
      <w:r>
        <w:rPr>
          <w:u w:val="single"/>
        </w:rPr>
        <w:t xml:space="preserve">(e) 0.2904 percent from January 1, 2023, and thereafter</w:t>
      </w:r>
      <w:r>
        <w:rPr>
          <w:u w:val="single"/>
        </w:rPr>
        <w:t xml:space="preserve">.</w:t>
      </w:r>
    </w:p>
    <w:p>
      <w:pPr>
        <w:spacing w:before="0" w:after="0" w:line="408" w:lineRule="exact"/>
        <w:ind w:left="0" w:right="0" w:firstLine="576"/>
        <w:jc w:val="left"/>
      </w:pPr>
      <w:r>
        <w:rPr>
          <w:u w:val="single"/>
        </w:rPr>
        <w:t xml:space="preserve">(3)</w:t>
      </w:r>
      <w:r>
        <w:rPr/>
        <w:t xml:space="preserve">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2017 3rd sp.s. c 37 s 526 are each amended to read as follows:</w:t>
      </w:r>
    </w:p>
    <w:p>
      <w:pPr>
        <w:spacing w:before="0" w:after="0" w:line="408" w:lineRule="exact"/>
        <w:ind w:left="0" w:right="0" w:firstLine="576"/>
        <w:jc w:val="left"/>
      </w:pPr>
      <w:r>
        <w:rPr/>
        <w:t xml:space="preserve">(1)(a) </w:t>
      </w:r>
      <w:r>
        <w:rPr>
          <w:u w:val="single"/>
        </w:rPr>
        <w:t xml:space="preserve">Section 3, chapter . . ., Laws of 2019 (section 3 of this act), s</w:t>
      </w:r>
      <w:r>
        <w:rPr/>
        <w:t xml:space="preserve">ections 510, 512, 514, 516, 518, 520, 522, and 524, chapter 37, Laws of 2017 3rd sp. sess., sections 9, 13, 17, 22, 24, 30, 32, and 45, chapter 135, Laws of 2017, sections 104, 110, 117, 123, 125, 129, 131, and 150, chapter 114, Laws of 2010, and sections 1, 2, 3,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automatic expiration date provisions of RCW 82.32.805(1)(a).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on the date section 3 of this act takes effect.</w:t>
      </w:r>
    </w:p>
    <w:p/>
    <w:p>
      <w:pPr>
        <w:jc w:val="center"/>
      </w:pPr>
      <w:r>
        <w:rPr>
          <w:b/>
        </w:rPr>
        <w:t>--- END ---</w:t>
      </w:r>
    </w:p>
    <w:sectPr>
      <w:pgNumType w:start="1"/>
      <w:footerReference xmlns:r="http://schemas.openxmlformats.org/officeDocument/2006/relationships" r:id="Re5dc4cdc5e1a42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1dd36e03e94a3a" /><Relationship Type="http://schemas.openxmlformats.org/officeDocument/2006/relationships/footer" Target="/word/footer1.xml" Id="Re5dc4cdc5e1a4267" /></Relationships>
</file>