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bffe036e484c9f" /></Relationships>
</file>

<file path=word/document.xml><?xml version="1.0" encoding="utf-8"?>
<w:document xmlns:w="http://schemas.openxmlformats.org/wordprocessingml/2006/main">
  <w:body>
    <w:p>
      <w:r>
        <w:t>S-0283.1</w:t>
      </w:r>
    </w:p>
    <w:p>
      <w:pPr>
        <w:jc w:val="center"/>
      </w:pPr>
      <w:r>
        <w:t>_______________________________________________</w:t>
      </w:r>
    </w:p>
    <w:p/>
    <w:p>
      <w:pPr>
        <w:jc w:val="center"/>
      </w:pPr>
      <w:r>
        <w:rPr>
          <w:b/>
        </w:rPr>
        <w:t>SENATE BILL 5643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Palumbo, Honeyford, Keiser, Walsh, Saldaña, and Nguyen</w:t>
      </w:r>
    </w:p>
    <w:p/>
    <w:p>
      <w:r>
        <w:rPr>
          <w:t xml:space="preserve">Read first time 01/25/19.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 and 66.24.650.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w:t>
      </w:r>
    </w:p>
    <w:p>
      <w:pPr>
        <w:spacing w:before="0" w:after="0" w:line="408" w:lineRule="exact"/>
        <w:ind w:left="0" w:right="0" w:firstLine="576"/>
        <w:jc w:val="left"/>
      </w:pPr>
      <w:r>
        <w:rPr>
          <w:u w:val="single"/>
        </w:rPr>
        <w:t xml:space="preserve">(a)</w:t>
      </w:r>
      <w:r>
        <w:rPr/>
        <w:t xml:space="preserve">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and </w:t>
      </w:r>
      <w:r>
        <w:t>((</w:t>
      </w:r>
      <w:r>
        <w:rPr>
          <w:strike/>
        </w:rPr>
        <w:t xml:space="preserve">providing tabletop accommodations for in-theater dining</w:t>
      </w:r>
      <w:r>
        <w:t>))</w:t>
      </w:r>
      <w:r>
        <w:rPr/>
        <w:t xml:space="preserve"> </w:t>
      </w:r>
      <w:r>
        <w:rPr>
          <w:u w:val="single"/>
        </w:rPr>
        <w:t xml:space="preserve">meet the requirements of (b) of this subsection</w:t>
      </w:r>
      <w:r>
        <w:rPr/>
        <w:t xml:space="preserve">. </w:t>
      </w:r>
      <w:r>
        <w:rPr>
          <w:u w:val="single"/>
        </w:rPr>
        <w:t xml:space="preserve">However, theaters with no more than four screens that provide tabletop service are exempt from the requirements of (b)(ii) of this subsection.</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A spirits, beer, and wine theater licensee must:</w:t>
      </w:r>
    </w:p>
    <w:p>
      <w:pPr>
        <w:spacing w:before="0" w:after="0" w:line="408" w:lineRule="exact"/>
        <w:ind w:left="0" w:right="0" w:firstLine="576"/>
        <w:jc w:val="left"/>
      </w:pPr>
      <w:r>
        <w:rPr>
          <w:u w:val="single"/>
        </w:rPr>
        <w:t xml:space="preserve">(i) Serve alcoholic beverages in distinctive glassware that is visibly different from glassware containing nonalcoholic beverages. Glassware for beer shall not exceed a standard twenty-four ounce size, glassware for cocktails shall not exceed a sixteen ounce size, and glassware for wine shall not exceed a ten ounce size. No drink containing distilled spirits shall exceed three ounces of spirits and must be one hundred proof or less;</w:t>
      </w:r>
    </w:p>
    <w:p>
      <w:pPr>
        <w:spacing w:before="0" w:after="0" w:line="408" w:lineRule="exact"/>
        <w:ind w:left="0" w:right="0" w:firstLine="576"/>
        <w:jc w:val="left"/>
      </w:pPr>
      <w:r>
        <w:rPr>
          <w:u w:val="single"/>
        </w:rPr>
        <w:t xml:space="preserve">(ii) Separate the bar and lounge area from the concession stand. No alcoholic beverages may be sold from any temporary location on the premises including, but not limited to, mobile bars, ice buckets, and hawkers;</w:t>
      </w:r>
    </w:p>
    <w:p>
      <w:pPr>
        <w:spacing w:before="0" w:after="0" w:line="408" w:lineRule="exact"/>
        <w:ind w:left="0" w:right="0" w:firstLine="576"/>
        <w:jc w:val="left"/>
      </w:pPr>
      <w:r>
        <w:rPr>
          <w:u w:val="single"/>
        </w:rPr>
        <w:t xml:space="preserve">(iii) Not hold promotions that encourage intoxication or drinking contests. Each customer must be physically present and age verified at the time of order for any alcoholic beverage; and</w:t>
      </w:r>
    </w:p>
    <w:p>
      <w:pPr>
        <w:spacing w:before="0" w:after="0" w:line="408" w:lineRule="exact"/>
        <w:ind w:left="0" w:right="0" w:firstLine="576"/>
        <w:jc w:val="left"/>
      </w:pPr>
      <w:r>
        <w:rPr>
          <w:u w:val="single"/>
        </w:rPr>
        <w:t xml:space="preserve">(iv) Ensure that all managers and staff who interact with guests complete a responsible service of alcohol course within thirty days of hire. The course must teach the managers and staff to identify minors and prevent them from purchasing alcoholic beverages, and identify the signs of intoxication and prevent service to intoxicated individuals.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ee3e93f45bcb41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39b4c236342d5" /><Relationship Type="http://schemas.openxmlformats.org/officeDocument/2006/relationships/footer" Target="/word/footer1.xml" Id="Ree3e93f45bcb418d" /></Relationships>
</file>