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cefe10ab148f1" /></Relationships>
</file>

<file path=word/document.xml><?xml version="1.0" encoding="utf-8"?>
<w:document xmlns:w="http://schemas.openxmlformats.org/wordprocessingml/2006/main">
  <w:body>
    <w:p>
      <w:r>
        <w:t>S-0578.2</w:t>
      </w:r>
    </w:p>
    <w:p>
      <w:pPr>
        <w:jc w:val="center"/>
      </w:pPr>
      <w:r>
        <w:t>_______________________________________________</w:t>
      </w:r>
    </w:p>
    <w:p/>
    <w:p>
      <w:pPr>
        <w:jc w:val="center"/>
      </w:pPr>
      <w:r>
        <w:rPr>
          <w:b/>
        </w:rPr>
        <w:t>SENATE BILL 5658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Nguyen, Hasegawa, Saldaña, and Frockt</w:t>
      </w:r>
    </w:p>
    <w:p/>
    <w:p>
      <w:r>
        <w:rPr>
          <w:t xml:space="preserve">Read first time 01/25/19.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tax preferences for bullion; creating a new section; repealing RCW 82.04.062;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("Sale at wholesale," "sale at retail" excludes sale of precious metal bullion and monetized bullion</w:t>
      </w:r>
      <w:r>
        <w:rPr>
          <w:rFonts w:ascii="Times New Roman" w:hAnsi="Times New Roman"/>
        </w:rPr>
        <w:t xml:space="preserve">—</w:t>
      </w:r>
      <w:r>
        <w:rPr/>
        <w:t xml:space="preserve">Computation of tax) and 1985 c 471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 of this act does not affect any existing right acquired or liability or obligation incurred under the statute repealed or under any rule or order adopted under that statute nor does it affect any proceeding instituted under the repealed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f1670ac77ff04a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5a9c5a36e45d1" /><Relationship Type="http://schemas.openxmlformats.org/officeDocument/2006/relationships/footer" Target="/word/footer1.xml" Id="Rf1670ac77ff04abc" /></Relationships>
</file>