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fdbf7a7d94c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Palumbo, Carlyle, Rolfes, Mullet, Nguyen, Hobbs, Liias, Pedersen, and Braun)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adding a new section to chapter 43.105 RCW; and repealing RCW 43.105.375.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adopt third-party, commercial cloud computing solutions for any new information technology or telecommunications investments except as provided in subsection (2) of this section. Prior to selecting and implementing a cloud computing solution,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leveraging defined federal authorization or accreditation programs to the fullest extent possible; and</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(2) State agencies must receive a waiver from the office if there is a service requirement that prohibits the adoption of a cloud computing solution, as required in subsection (1) of this section.</w:t>
      </w:r>
    </w:p>
    <w:p>
      <w:pPr>
        <w:spacing w:before="0" w:after="0" w:line="408" w:lineRule="exact"/>
        <w:ind w:left="0" w:right="0" w:firstLine="576"/>
        <w:jc w:val="left"/>
      </w:pPr>
      <w:r>
        <w:rPr/>
        <w:t xml:space="preserve">(a) Waivers must be based on written justification from the requesting state agency citing specific services or performance requirements for not utilizing a cloud computing solution.</w:t>
      </w:r>
    </w:p>
    <w:p>
      <w:pPr>
        <w:spacing w:before="0" w:after="0" w:line="408" w:lineRule="exact"/>
        <w:ind w:left="0" w:right="0" w:firstLine="576"/>
        <w:jc w:val="left"/>
      </w:pPr>
      <w:r>
        <w:rPr/>
        <w:t xml:space="preserve">(b) Information on waiver applications, requested and granted, must be submitted by the office to the appropriate committees of the legislature by December 30th each calendar year.</w:t>
      </w:r>
    </w:p>
    <w:p>
      <w:pPr>
        <w:spacing w:before="0" w:after="0" w:line="408" w:lineRule="exact"/>
        <w:ind w:left="0" w:right="0" w:firstLine="576"/>
        <w:jc w:val="left"/>
      </w:pPr>
      <w:r>
        <w:rPr/>
        <w:t xml:space="preserve">(3) State agencies are prohibited from installing and operating servers, storage, networking, and related hardware in agency-operated facilities unless a waiver is granted by the office or otherwise allowed by statewide policy.</w:t>
      </w:r>
    </w:p>
    <w:p>
      <w:pPr>
        <w:spacing w:before="0" w:after="0" w:line="408" w:lineRule="exact"/>
        <w:ind w:left="0" w:right="0" w:firstLine="576"/>
        <w:jc w:val="left"/>
      </w:pPr>
      <w:r>
        <w:rPr/>
        <w:t xml:space="preserve">(4) Subject to the availability of amounts appropriated for this specific purpose,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 and</w:t>
      </w:r>
    </w:p>
    <w:p>
      <w:pPr>
        <w:spacing w:before="0" w:after="0" w:line="408" w:lineRule="exact"/>
        <w:ind w:left="0" w:right="0" w:firstLine="576"/>
        <w:jc w:val="left"/>
      </w:pPr>
      <w:r>
        <w:rPr/>
        <w:t xml:space="preserve">(c) Identify additional resources needed by the agency to enable sufficient cloud migration support to state agencies.</w:t>
      </w:r>
    </w:p>
    <w:p>
      <w:pPr>
        <w:spacing w:before="0" w:after="0" w:line="408" w:lineRule="exact"/>
        <w:ind w:left="0" w:right="0" w:firstLine="576"/>
        <w:jc w:val="left"/>
      </w:pPr>
      <w:r>
        <w:rPr/>
        <w:t xml:space="preserve">(5) By June 30, 2020, the office must submit a report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(6) Subject to the availability of amounts appropriated for this specific purpose, the agency must oversee and provide technical specifications to the department of enterprise services who must conduct competitive procurements processes to identify no more than three contracts per procurement to provide cloud computing services and to provide system migration support. The procurement process must be reopened and contracts must be renegotiated at a minimum every five years.</w:t>
      </w:r>
    </w:p>
    <w:p>
      <w:pPr>
        <w:spacing w:before="0" w:after="0" w:line="408" w:lineRule="exact"/>
        <w:ind w:left="0" w:right="0" w:firstLine="576"/>
        <w:jc w:val="left"/>
      </w:pPr>
      <w:r>
        <w:rPr/>
        <w:t xml:space="preserve">(7)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(Use of state data center</w:t>
      </w:r>
      <w:r>
        <w:rPr>
          <w:rFonts w:ascii="Times New Roman" w:hAnsi="Times New Roman"/>
        </w:rPr>
        <w:t xml:space="preserve">—</w:t>
      </w:r>
      <w:r>
        <w:rPr/>
        <w:t xml:space="preserve">Business plan and migration schedule for state agencies</w:t>
      </w:r>
      <w:r>
        <w:rPr>
          <w:rFonts w:ascii="Times New Roman" w:hAnsi="Times New Roman"/>
        </w:rPr>
        <w:t xml:space="preserve">—</w:t>
      </w:r>
      <w:r>
        <w:rPr/>
        <w:t xml:space="preserve">Exceptions) and 2015 3rd sp.s. c 1 s 219 &amp; 2011 1st sp.s. c 43 s 735 are each repealed.</w:t>
      </w:r>
    </w:p>
    <w:p/>
    <w:p>
      <w:pPr>
        <w:jc w:val="center"/>
      </w:pPr>
      <w:r>
        <w:rPr>
          <w:b/>
        </w:rPr>
        <w:t>--- END ---</w:t>
      </w:r>
    </w:p>
    <w:sectPr>
      <w:pgNumType w:start="1"/>
      <w:footerReference xmlns:r="http://schemas.openxmlformats.org/officeDocument/2006/relationships" r:id="R439ecfd424f84d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24fd974b74b00" /><Relationship Type="http://schemas.openxmlformats.org/officeDocument/2006/relationships/footer" Target="/word/footer1.xml" Id="R439ecfd424f84d15" /></Relationships>
</file>