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718597b28b4a57" /></Relationships>
</file>

<file path=word/document.xml><?xml version="1.0" encoding="utf-8"?>
<w:document xmlns:w="http://schemas.openxmlformats.org/wordprocessingml/2006/main">
  <w:body>
    <w:p>
      <w:r>
        <w:t>S-1072.1</w:t>
      </w:r>
    </w:p>
    <w:p>
      <w:pPr>
        <w:jc w:val="center"/>
      </w:pPr>
      <w:r>
        <w:t>_______________________________________________</w:t>
      </w:r>
    </w:p>
    <w:p/>
    <w:p>
      <w:pPr>
        <w:jc w:val="center"/>
      </w:pPr>
      <w:r>
        <w:rPr>
          <w:b/>
        </w:rPr>
        <w:t>SENATE BILL 5718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Hasegawa, Nguyen, O'Ban, Das, Keiser, Kuderer, and Zeiger</w:t>
      </w:r>
    </w:p>
    <w:p/>
    <w:p>
      <w:r>
        <w:rPr>
          <w:t xml:space="preserve">Read first time 01/29/19.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child welfare housing assistance program that provides housing assistance to parents reunifying with a child and parents at risk of having a child removed; amending RCW 13.34.065 and 13.34.138; reenacting and amending RCW 43.216.015; and adding a new section to chapter 74.13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July 1, 2020, the department shall establish a child welfare housing assistance program, which provides housing vouchers, rental assistance, navigation, and other support services to eligible families. The child welfare housing assistance program is intended to shorten the time that children remain in out-of-home care and provide support to allow families to remain intact. The funding provided pursuant to this section may generally extend up to two years, and could extend beyond two years for individuals who still do not have permanent housing or who continue to need housing support.</w:t>
      </w:r>
    </w:p>
    <w:p>
      <w:pPr>
        <w:spacing w:before="0" w:after="0" w:line="408" w:lineRule="exact"/>
        <w:ind w:left="0" w:right="0" w:firstLine="576"/>
        <w:jc w:val="left"/>
      </w:pPr>
      <w:r>
        <w:rPr/>
        <w:t xml:space="preserve">(2) The following individuals are eligible for the child welfare housing assistance program:</w:t>
      </w:r>
    </w:p>
    <w:p>
      <w:pPr>
        <w:spacing w:before="0" w:after="0" w:line="408" w:lineRule="exact"/>
        <w:ind w:left="0" w:right="0" w:firstLine="576"/>
        <w:jc w:val="left"/>
      </w:pPr>
      <w:r>
        <w:rPr/>
        <w:t xml:space="preserve">(a) A parent with a child who is dependent pursuant to chapter 13.34 RCW and the primary remaining barrier to reunification is the lack of appropriate housing. This eligibility group shall be given priority; and</w:t>
      </w:r>
    </w:p>
    <w:p>
      <w:pPr>
        <w:spacing w:before="0" w:after="0" w:line="408" w:lineRule="exact"/>
        <w:ind w:left="0" w:right="0" w:firstLine="576"/>
        <w:jc w:val="left"/>
      </w:pPr>
      <w:r>
        <w:rPr/>
        <w:t xml:space="preserve">(b) A parent with a child who is not dependent pursuant to chapter 13.34 RCW, but the child is at risk of removal by the department because of a lack of appropriate housing. This eligibility group will only be served if there are remaining funds for the program after serving all eligible families in (a) of this subsection.</w:t>
      </w:r>
    </w:p>
    <w:p>
      <w:pPr>
        <w:spacing w:before="0" w:after="0" w:line="408" w:lineRule="exact"/>
        <w:ind w:left="0" w:right="0" w:firstLine="576"/>
        <w:jc w:val="left"/>
      </w:pPr>
      <w:r>
        <w:rPr/>
        <w:t xml:space="preserve">(3) The department shall contract with an outside entity or entities to operate the child welfare housing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convene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the effective date of this section and assist the department in design of the child welfare housing assistance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Following implementation of the program, the stakeholder group established in subsection (5) of this section shall provide ongoing input into the child welfare housing assistance program in the following areas:</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Tracking of the receipt of program support; and</w:t>
      </w:r>
    </w:p>
    <w:p>
      <w:pPr>
        <w:spacing w:before="0" w:after="0" w:line="408" w:lineRule="exact"/>
        <w:ind w:left="0" w:right="0" w:firstLine="576"/>
        <w:jc w:val="left"/>
      </w:pPr>
      <w:r>
        <w:rPr/>
        <w:t xml:space="preserve">(c) Establishing performance measures and monitoring outcomes.</w:t>
      </w:r>
    </w:p>
    <w:p>
      <w:pPr>
        <w:spacing w:before="0" w:after="0" w:line="408" w:lineRule="exact"/>
        <w:ind w:left="0" w:right="0" w:firstLine="576"/>
        <w:jc w:val="left"/>
      </w:pPr>
      <w:r>
        <w:rPr/>
        <w:t xml:space="preserve">(8) The department shall annually report outcomes for the child welfare housing assistance program to the stakeholder group established in subsection (5) of this section and the oversight board for children, youth, and families established pursuant to RCW 43.216.015.</w:t>
      </w:r>
    </w:p>
    <w:p>
      <w:pPr>
        <w:spacing w:before="0" w:after="0" w:line="408" w:lineRule="exact"/>
        <w:ind w:left="0" w:right="0" w:firstLine="576"/>
        <w:jc w:val="left"/>
      </w:pPr>
      <w:r>
        <w:rPr/>
        <w:t xml:space="preserve">(9) The child welfare housing assistance program established in this section is subject to the availability of funds appropriated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2018 c 284 s 4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w:t>
      </w:r>
      <w:r>
        <w:rPr>
          <w:u w:val="single"/>
        </w:rPr>
        <w:t xml:space="preserve">, including referral to the child welfare housing assistance program established in section 1 of this act,</w:t>
      </w:r>
      <w:r>
        <w:rPr/>
        <w:t xml:space="preserv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2018 c 284 s 14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w:t>
      </w:r>
      <w:r>
        <w:rPr>
          <w:u w:val="single"/>
        </w:rPr>
        <w:t xml:space="preserve">, including referral to the child welfare housing assistance program established in section 1 of this act</w:t>
      </w:r>
      <w:r>
        <w:rPr/>
        <w:t xml:space="preserve">;</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2018 c 58 s 76 and 2018 c 51 s 1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w:t>
      </w:r>
      <w:r>
        <w:rPr>
          <w:u w:val="single"/>
        </w:rPr>
        <w:t xml:space="preserve">The department shall annually report outcomes for the child welfare housing assistance program established in section 1 of this act to the oversight board for children, youth, and families.</w:t>
      </w:r>
    </w:p>
    <w:p>
      <w:pPr>
        <w:spacing w:before="0" w:after="0" w:line="408" w:lineRule="exact"/>
        <w:ind w:left="0" w:right="0" w:firstLine="576"/>
        <w:jc w:val="left"/>
      </w:pPr>
      <w:r>
        <w:rPr>
          <w:u w:val="single"/>
        </w:rPr>
        <w:t xml:space="preserve">(22)</w:t>
      </w:r>
      <w:r>
        <w:rPr/>
        <w:t xml:space="preserve">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t>((</w:t>
      </w:r>
      <w:r>
        <w:rPr>
          <w:strike/>
        </w:rPr>
        <w:t xml:space="preserve">(22) The governor must appoint the secretary of the department within thirty days of July 6, 2017.</w:t>
      </w:r>
      <w:r>
        <w:t>))</w:t>
      </w:r>
    </w:p>
    <w:p/>
    <w:p>
      <w:pPr>
        <w:jc w:val="center"/>
      </w:pPr>
      <w:r>
        <w:rPr>
          <w:b/>
        </w:rPr>
        <w:t>--- END ---</w:t>
      </w:r>
    </w:p>
    <w:sectPr>
      <w:pgNumType w:start="1"/>
      <w:footerReference xmlns:r="http://schemas.openxmlformats.org/officeDocument/2006/relationships" r:id="R9cfd90bb343c4e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37625b16844232" /><Relationship Type="http://schemas.openxmlformats.org/officeDocument/2006/relationships/footer" Target="/word/footer1.xml" Id="R9cfd90bb343c4ecb" /></Relationships>
</file>