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877cb0aa7471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Saldaña, Nguyen,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adequate provisions for low-income homeownership opportunities; amending RCW 43.185.050, 43.185.070, 43.185A.010, and 43.185A.030; adding a new section to chapter 43.185A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w:t>
      </w:r>
    </w:p>
    <w:p>
      <w:pPr>
        <w:spacing w:before="0" w:after="0" w:line="408" w:lineRule="exact"/>
        <w:ind w:left="0" w:right="0" w:firstLine="576"/>
        <w:jc w:val="left"/>
      </w:pPr>
      <w:r>
        <w:rPr/>
        <w:t xml:space="preserve">(f) Appropriations for low-income homeownership projects have not been adequately provided between 2013 and 2018, with only 4.26 percent of housing trust fund dollars being invested in such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w:t>
      </w:r>
      <w:r>
        <w:t>((</w:t>
      </w:r>
      <w:r>
        <w:rPr>
          <w:strike/>
        </w:rPr>
        <w:t xml:space="preserve">that will provide housing for persons and families with</w:t>
      </w:r>
      <w:r>
        <w:t>))</w:t>
      </w:r>
      <w:r>
        <w:rPr/>
        <w:t xml:space="preserve"> </w:t>
      </w:r>
      <w:r>
        <w:rPr>
          <w:u w:val="single"/>
        </w:rPr>
        <w:t xml:space="preserve">to meet the</w:t>
      </w:r>
      <w:r>
        <w:rPr/>
        <w:t xml:space="preserve"> special housing needs </w:t>
      </w:r>
      <w:r>
        <w:t>((</w:t>
      </w:r>
      <w:r>
        <w:rPr>
          <w:strike/>
        </w:rPr>
        <w:t xml:space="preserve">and with incomes at or below fifty percent of the median family income for the county or standard metropolitan statistical area where the project is located</w:t>
      </w:r>
      <w:r>
        <w:t>))</w:t>
      </w:r>
      <w:r>
        <w:rPr/>
        <w:t xml:space="preserve"> </w:t>
      </w:r>
      <w:r>
        <w:rPr>
          <w:u w:val="single"/>
        </w:rPr>
        <w:t xml:space="preserve">of low-income households as defined in RCW 43.185A.010</w:t>
      </w:r>
      <w:r>
        <w:rPr/>
        <w:t xml:space="preserve">.</w:t>
      </w:r>
    </w:p>
    <w:p>
      <w:pPr>
        <w:spacing w:before="0" w:after="0" w:line="408" w:lineRule="exact"/>
        <w:ind w:left="0" w:right="0" w:firstLine="576"/>
        <w:jc w:val="left"/>
      </w:pPr>
      <w:r>
        <w:rPr>
          <w:u w:val="single"/>
        </w:rPr>
        <w:t xml:space="preserve">(a)(i)</w:t>
      </w:r>
      <w:r>
        <w:rPr/>
        <w:t xml:space="preserve"> At least thirty percent of these moneys used in any given funding cycle must be for the benefit of projects located in rural areas of the state as defined by the department.</w:t>
      </w:r>
    </w:p>
    <w:p>
      <w:pPr>
        <w:spacing w:before="0" w:after="0" w:line="408" w:lineRule="exact"/>
        <w:ind w:left="0" w:right="0" w:firstLine="576"/>
        <w:jc w:val="left"/>
      </w:pPr>
      <w:r>
        <w:rPr>
          <w:u w:val="single"/>
        </w:rPr>
        <w:t xml:space="preserve">(ii) A target of thirteen percent of the moneys used in any funding cycle is established for the benefit of homeownership projects for low-income households as defined in RCW 43.185A.010. If the department imposes a funding limit on homeownership projects, that limit must be no less than thirty percent of the limit placed on multifamily projects.</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w:t>
      </w:r>
      <w:r>
        <w:rPr>
          <w:u w:val="single"/>
        </w:rPr>
        <w:t xml:space="preserve">or homeownership</w:t>
      </w:r>
      <w:r>
        <w:rPr/>
        <w:t xml:space="preserve"> projects during any given funding cycle, the department may allocate unused moneys for </w:t>
      </w:r>
      <w:r>
        <w:rPr>
          <w:u w:val="single"/>
        </w:rPr>
        <w:t xml:space="preserve">other</w:t>
      </w:r>
      <w:r>
        <w:rPr/>
        <w:t xml:space="preserve"> projects </w:t>
      </w:r>
      <w:r>
        <w:t>((</w:t>
      </w:r>
      <w:r>
        <w:rPr>
          <w:strike/>
        </w:rPr>
        <w:t xml:space="preserve">in nonrural areas of the state</w:t>
      </w:r>
      <w:r>
        <w:t>))</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 </w:t>
      </w:r>
      <w:r>
        <w:rPr>
          <w:u w:val="single"/>
        </w:rPr>
        <w:t xml:space="preserve">as defined in RCW 43.185A.010</w:t>
      </w:r>
      <w:r>
        <w:rPr/>
        <w:t xml:space="preserve">;</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thirteen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Beginning December 1, 2021, and every year thereafter, the department must report to the appropriate committees of the legislature on the following for every previous funding cycle: The number of homeownership and multifamily projects funded by housing trust fund moneys; the percentage of housing trust fund investments made to homeownership and multifamily projects; and the total number of households being served at up to eighty percent of the area median income, up to fifty percent of the area median income, and up to thirty percent of the area median income, for both homeownership and multifamily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98d085f4ffd4f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0c83f3613444a" /><Relationship Type="http://schemas.openxmlformats.org/officeDocument/2006/relationships/footer" Target="/word/footer1.xml" Id="R698d085f4ffd4fb7" /></Relationships>
</file>