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0a153623345d7" /></Relationships>
</file>

<file path=word/document.xml><?xml version="1.0" encoding="utf-8"?>
<w:document xmlns:w="http://schemas.openxmlformats.org/wordprocessingml/2006/main">
  <w:body>
    <w:p>
      <w:r>
        <w:t>S-1139.1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5754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Randall, Wilson, C., Darneille, Hunt, Kuderer, Nguyen, and Rivers</w:t>
      </w:r>
    </w:p>
    <w:p/>
    <w:p>
      <w:r>
        <w:rPr>
          <w:t xml:space="preserve">Read first time 01/30/19.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care for working individuals with disabilities; amending RCW 74.09.540;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09</w:t>
      </w:r>
      <w:r>
        <w:rPr/>
        <w:t xml:space="preserve">.</w:t>
      </w:r>
      <w:r>
        <w:t xml:space="preserve">540</w:t>
      </w:r>
      <w:r>
        <w:rPr/>
        <w:t xml:space="preserve"> and 2018 c 201 s 7019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is the intent of the legislature to remove barriers to employment for individuals with disabilities by providing medical assistance to working individuals with disabilities through a buy-in program in accordance with section 1902(a)(10)(A)(ii) of the social security act and eligibility and cost-sharing requirements established by the authority.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authority shall establish </w:t>
      </w:r>
      <w:r>
        <w:t>((</w:t>
      </w:r>
      <w:r>
        <w:rPr>
          <w:strike/>
        </w:rPr>
        <w:t xml:space="preserve">income, resource, and</w:t>
      </w:r>
      <w:r>
        <w:t>))</w:t>
      </w:r>
      <w:r>
        <w:rPr/>
        <w:t xml:space="preserve"> cost-sharing requirements for the buy-in program in accordance with federal law and any conditions or limitations specified in the omnibus appropriations act. The authority shall establish and modify eligibility and cost-sharing requirements in order to administer the program within available funds. </w:t>
      </w:r>
      <w:r>
        <w:rPr>
          <w:u w:val="single"/>
        </w:rPr>
        <w:t xml:space="preserve">The authority may consider a person's income when establishing cost-sharing requirements. The authority may not establish eligibility restrictions for the buy-in program based upon a person's income or maximum age.</w:t>
      </w:r>
      <w:r>
        <w:rPr/>
        <w:t xml:space="preserve"> The authority shall make every effort to coordinate benefits with employer-sponsored coverage available to the working individuals with disabilities receiving benefits under this chapter or other applicable law.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The authority shall seek federal approval to exclude resources accumulated in a separate account that results from earnings during an individual's enrollment in the buy-in program when determining the individual's subsequent eligibility for another medical assistance program.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263e17354954c4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5754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5c4f758bf4431" /><Relationship Type="http://schemas.openxmlformats.org/officeDocument/2006/relationships/footer" Target="/word/footer1.xml" Id="Rf263e17354954c47" /></Relationships>
</file>