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c11d500e445a5" /></Relationships>
</file>

<file path=word/document.xml><?xml version="1.0" encoding="utf-8"?>
<w:document xmlns:w="http://schemas.openxmlformats.org/wordprocessingml/2006/main">
  <w:body>
    <w:p>
      <w:r>
        <w:t>S-1112.1</w:t>
      </w:r>
    </w:p>
    <w:p>
      <w:pPr>
        <w:jc w:val="center"/>
      </w:pPr>
      <w:r>
        <w:t>_______________________________________________</w:t>
      </w:r>
    </w:p>
    <w:p/>
    <w:p>
      <w:pPr>
        <w:jc w:val="center"/>
      </w:pPr>
      <w:r>
        <w:rPr>
          <w:b/>
        </w:rPr>
        <w:t>SENATE BILL 5781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Bailey, Fortunato, Brown, Short, Warnick, and Wilson, L.</w:t>
      </w:r>
    </w:p>
    <w:p/>
    <w:p>
      <w:r>
        <w:rPr>
          <w:t xml:space="preserve">Read first time 01/31/19.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mandates in the individual and small group markets; amending RCW 48.43.715;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provide additional options for health insurance coverage in the commercial individual and small group markets. Further, it is the intent of the legislature to increase the variety of health benefit plans available to meet the individual needs of consumers, and improve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Consistent with federal law,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under P.L. 111-148 of 2010, as amended.</w:t>
      </w:r>
    </w:p>
    <w:p>
      <w:pPr>
        <w:spacing w:before="0" w:after="0" w:line="408" w:lineRule="exact"/>
        <w:ind w:left="0" w:right="0" w:firstLine="576"/>
        <w:jc w:val="left"/>
      </w:pPr>
      <w:r>
        <w:rPr/>
        <w:t xml:space="preserve">(2) If the essential health benefits benchmark plan for the individual and small group market does not include all of the ten benefit categories specified by section 1302 of P.L. 111-148, as amended, the commissioner, in consultation with the board and the health care authority, shall, by rule, supplement the benchmark plan benefits as needed to meet the minimum requirements of section 1302.</w:t>
      </w:r>
    </w:p>
    <w:p>
      <w:pPr>
        <w:spacing w:before="0" w:after="0" w:line="408" w:lineRule="exact"/>
        <w:ind w:left="0" w:right="0" w:firstLine="576"/>
        <w:jc w:val="left"/>
      </w:pPr>
      <w:r>
        <w:rPr/>
        <w:t xml:space="preserve">(3) A health plan required to offer the essential health benefits, other than a health plan offered through the federal basic health program or medicaid, under P.L. 111-148 of 2010, as amended,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specified in section 1302 of P.L. 111-148 of 2010, as amended;</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 categories specified by section 1302 of P.L. 111-148 of 2010, as amended;</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this subsection (3)</w:t>
      </w:r>
      <w:r>
        <w:rPr/>
        <w:t xml:space="preserve">, for benefit years beginning January 1, 2015, and only to the extent permitted by federal law and guidance,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Unless prohibited by federal law and guidance,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u w:val="single"/>
        </w:rPr>
        <w:t xml:space="preserve">(5) Commercial health benefit plans offered in the individual and small group markets are exempt from all state mandated benefits beyond those required by the federal government as the ten essential health benefits specified in section 1302 of P.L. 111-148 of 2010.</w:t>
      </w:r>
    </w:p>
    <w:p/>
    <w:p>
      <w:pPr>
        <w:jc w:val="center"/>
      </w:pPr>
      <w:r>
        <w:rPr>
          <w:b/>
        </w:rPr>
        <w:t>--- END ---</w:t>
      </w:r>
    </w:p>
    <w:sectPr>
      <w:pgNumType w:start="1"/>
      <w:footerReference xmlns:r="http://schemas.openxmlformats.org/officeDocument/2006/relationships" r:id="R2acf6107d52441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7e0d2a32e4626" /><Relationship Type="http://schemas.openxmlformats.org/officeDocument/2006/relationships/footer" Target="/word/footer1.xml" Id="R2acf6107d5244109" /></Relationships>
</file>