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3d64bcba84e9d" /></Relationships>
</file>

<file path=word/document.xml><?xml version="1.0" encoding="utf-8"?>
<w:document xmlns:w="http://schemas.openxmlformats.org/wordprocessingml/2006/main">
  <w:body>
    <w:p>
      <w:r>
        <w:t>S-1110.1</w:t>
      </w:r>
    </w:p>
    <w:p>
      <w:pPr>
        <w:jc w:val="center"/>
      </w:pPr>
      <w:r>
        <w:t>_______________________________________________</w:t>
      </w:r>
    </w:p>
    <w:p/>
    <w:p>
      <w:pPr>
        <w:jc w:val="center"/>
      </w:pPr>
      <w:r>
        <w:rPr>
          <w:b/>
        </w:rPr>
        <w:t>SENATE BILL 5798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Schoesler, Bailey, Becker, Short, Brown, King, Fortunato, Wagoner, Warnick, Honeyford, Takko, Rivers, Zeiger, Holy, Van De Wege, and Wilson, L.</w:t>
      </w:r>
    </w:p>
    <w:p/>
    <w:p>
      <w:r>
        <w:rPr>
          <w:t xml:space="preserve">Read first time 02/01/19.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construction and repair costs associated with fish barrier removal; amending RCW 82.14.050 and 82.14.060; adding a new section to chapter 82.08 RCW; adding a new section to chapter 82.12 RCW;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fish passage barrier removal; or</w:t>
      </w:r>
    </w:p>
    <w:p>
      <w:pPr>
        <w:spacing w:before="0" w:after="0" w:line="408" w:lineRule="exact"/>
        <w:ind w:left="0" w:right="0" w:firstLine="576"/>
        <w:jc w:val="left"/>
      </w:pPr>
      <w:r>
        <w:rPr/>
        <w:t xml:space="preserve">(b) Sales of tangible personal property that will be incorporated as an ingredient or component of fish passage barrier removal.</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and local sales and use taxes on or after the effective date of this section.</w:t>
      </w:r>
    </w:p>
    <w:p>
      <w:pPr>
        <w:spacing w:before="0" w:after="0" w:line="408" w:lineRule="exact"/>
        <w:ind w:left="0" w:right="0" w:firstLine="576"/>
        <w:jc w:val="left"/>
      </w:pPr>
      <w:r>
        <w:rPr/>
        <w:t xml:space="preserve">(3) For the purposes of this section, "fish passage barrier removal" means those activities consistent with Title 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in fish passage barrier removal.</w:t>
      </w:r>
    </w:p>
    <w:p>
      <w:pPr>
        <w:spacing w:before="0" w:after="0" w:line="408" w:lineRule="exact"/>
        <w:ind w:left="0" w:right="0" w:firstLine="576"/>
        <w:jc w:val="left"/>
      </w:pPr>
      <w:r>
        <w:rPr/>
        <w:t xml:space="preserve">(2) The eligibility requirements, conditions, and definition in section 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w:t>
      </w:r>
      <w:r>
        <w:t>((</w:t>
      </w:r>
      <w:r>
        <w:rPr>
          <w:strike/>
        </w:rPr>
        <w:t xml:space="preserve">or</w:t>
      </w:r>
      <w:r>
        <w:t>))</w:t>
      </w:r>
      <w:r>
        <w:rPr/>
        <w:t xml:space="preserve"> 82.12.025661</w:t>
      </w:r>
      <w:r>
        <w:rPr>
          <w:u w:val="single"/>
        </w:rPr>
        <w:t xml:space="preserve">, or section 1 or 2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2016 c 191 s 5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w:t>
      </w:r>
      <w:r>
        <w:t>((</w:t>
      </w:r>
      <w:r>
        <w:rPr>
          <w:strike/>
        </w:rPr>
        <w:t xml:space="preserve">or</w:t>
      </w:r>
      <w:r>
        <w:t>))</w:t>
      </w:r>
      <w:r>
        <w:rPr/>
        <w:t xml:space="preserve"> 82.12.025661, </w:t>
      </w:r>
      <w:r>
        <w:rPr>
          <w:u w:val="single"/>
        </w:rPr>
        <w:t xml:space="preserve">or section 1 or 2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on the date that the department of fish and wildlife determines that state fish passage barrier removal is complete and meets the standards set forth in federal court order.</w:t>
      </w:r>
    </w:p>
    <w:p>
      <w:pPr>
        <w:spacing w:before="0" w:after="0" w:line="408" w:lineRule="exact"/>
        <w:ind w:left="0" w:right="0" w:firstLine="576"/>
        <w:jc w:val="left"/>
      </w:pPr>
      <w:r>
        <w:rPr/>
        <w:t xml:space="preserve">(2) The department of fish and wildlife must provide written notice of the expiration date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c743b87d307b49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8fff5d31f434d" /><Relationship Type="http://schemas.openxmlformats.org/officeDocument/2006/relationships/footer" Target="/word/footer1.xml" Id="Rc743b87d307b490c" /></Relationships>
</file>