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2d619339b42fa" /></Relationships>
</file>

<file path=word/document.xml><?xml version="1.0" encoding="utf-8"?>
<w:document xmlns:w="http://schemas.openxmlformats.org/wordprocessingml/2006/main">
  <w:body>
    <w:p>
      <w:r>
        <w:t>S-2110.4</w:t>
      </w:r>
    </w:p>
    <w:p>
      <w:pPr>
        <w:jc w:val="center"/>
      </w:pPr>
      <w:r>
        <w:t>_______________________________________________</w:t>
      </w:r>
    </w:p>
    <w:p/>
    <w:p>
      <w:pPr>
        <w:jc w:val="center"/>
      </w:pPr>
      <w:r>
        <w:rPr>
          <w:b/>
        </w:rPr>
        <w:t>SUBSTITUTE SENATE BILL 5853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Pedersen, Warnick, Frockt, Bailey, Carlyle, Zeiger, Dhingra, Becker, Wellman, Walsh, King, Liias, Wagoner, Palumbo, Hobbs, Rivers, Keiser, Hunt, Darneille, Rolfes, Hasegawa, Conway, Braun, Billig, Kuderer, Salomon, Cleveland, McCoy, Nguyen, Short, Das, Hawkins, Takko, Saldaña, Randall, O'Ban, Wilson, C., Van De Wege, and Wilson, L.)</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construction assistance program; amending RCW 28A.525.166;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2017-2019 omnibus capital appropriations act established a joint legislative task force on improving state support for school construction. The task force, through multiple public hearings and visits to schools around the state, developed recommendations for improvements to the school construction assistance program. This act implements consensus recommendations of the task force that relate directly to the school construction assistance program, including: (1) Adjusting the square footage per student allocation to reflect what is actually getting built; and (2) increasing the state match floor from twenty percent to thirty percent. It also implements a majority recommendation of the task force to remove policy disadvantages to preservation of historic buildings. This act also calls for the development of methods to project the need for state financing of school construction and ways to reduce the school construction costs to state and local taxpayers before fully implementing state funding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u w:val="single"/>
        </w:rPr>
        <w:t xml:space="preserve">(a) Except as provided in (b) of this subsection, t</w:t>
      </w:r>
      <w:r>
        <w:rPr/>
        <w:t xml:space="preserve">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State</w:t>
            </w:r>
          </w:p>
        </w:tc>
        <w:tc>
          <w:tcPr>
            <w:tcW w:w="3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Mar>
              <w:left w:w="0"/>
            </w:tcMar>
            <w:tcMar>
              <w:right w:w="0"/>
            </w:tcMar>
            <w:tcMar>
              <w:top w:w="0"/>
            </w:tcMar>
            <w:tcMar>
              <w:bottom w:w="0"/>
            </w:tcMar>
          </w:tcPr>
          <w:p>
            <w:pPr>
              <w:spacing w:before="0" w:after="0" w:line="408" w:lineRule="exact"/>
              <w:ind w:left="0" w:right="0" w:firstLine="0"/>
              <w:jc w:val="left"/>
              <w:tabs>
                <w:tab w:val="right" w:leader="hyphen" w:pos="2640"/>
              </w:tabs>
            </w:pPr>
            <w:r>
              <w:tab/>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 %</w:t>
            </w: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Ratio</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left"/>
      </w:pPr>
      <w:r>
        <w:t>((</w:t>
      </w:r>
      <w:r>
        <w:rPr>
          <w:strike/>
        </w:rPr>
        <w:t xml:space="preserve">PROVIDED, That</w:t>
      </w:r>
      <w:r>
        <w:t>))</w:t>
      </w:r>
      <w:r>
        <w:rPr/>
        <w:t xml:space="preserve"> </w:t>
      </w:r>
      <w:r>
        <w:rPr>
          <w:u w:val="single"/>
        </w:rPr>
        <w:t xml:space="preserve">(b) I</w:t>
      </w:r>
      <w:r>
        <w:rPr/>
        <w:t xml:space="preserve">n the event the state funding assistance percentage to any school district based on the above formula is less than </w:t>
      </w:r>
      <w:r>
        <w:t>((</w:t>
      </w:r>
      <w:r>
        <w:rPr>
          <w:strike/>
        </w:rPr>
        <w:t xml:space="preserve">twenty</w:t>
      </w:r>
      <w:r>
        <w:t>))</w:t>
      </w:r>
      <w:r>
        <w:rPr/>
        <w:t xml:space="preserve"> </w:t>
      </w:r>
      <w:r>
        <w:rPr>
          <w:u w:val="single"/>
        </w:rPr>
        <w:t xml:space="preserve">thirty</w:t>
      </w:r>
      <w:r>
        <w:rPr/>
        <w:t xml:space="preserve"> percent and such school district is otherwise eligible for state funding assistance under RCW 28A.525.162 through 28A.525.180, the superintendent </w:t>
      </w:r>
      <w:r>
        <w:t>((</w:t>
      </w:r>
      <w:r>
        <w:rPr>
          <w:strike/>
        </w:rPr>
        <w:t xml:space="preserve">may</w:t>
      </w:r>
      <w:r>
        <w:t>))</w:t>
      </w:r>
      <w:r>
        <w:rPr/>
        <w:t xml:space="preserve"> </w:t>
      </w:r>
      <w:r>
        <w:rPr>
          <w:u w:val="single"/>
        </w:rPr>
        <w:t xml:space="preserve">must</w:t>
      </w:r>
      <w:r>
        <w:rPr/>
        <w:t xml:space="preserve"> establish for such district a state funding assistance percentage not in excess of </w:t>
      </w:r>
      <w:r>
        <w:t>((</w:t>
      </w:r>
      <w:r>
        <w:rPr>
          <w:strike/>
        </w:rPr>
        <w:t xml:space="preserve">twenty</w:t>
      </w:r>
      <w:r>
        <w:t>))</w:t>
      </w:r>
      <w:r>
        <w:rPr/>
        <w:t xml:space="preserve"> </w:t>
      </w:r>
      <w:r>
        <w:rPr>
          <w:u w:val="single"/>
        </w:rPr>
        <w:t xml:space="preserve">thirty</w:t>
      </w:r>
      <w:r>
        <w:rPr/>
        <w:t xml:space="preserve"> percent of the approved cost of the project</w:t>
      </w:r>
      <w:r>
        <w:t>((</w:t>
      </w:r>
      <w:r>
        <w:rPr>
          <w:strike/>
        </w:rPr>
        <w:t xml:space="preserve">, if the superintendent finds that such additional assistance is necessary to provide minimum facilities for housing the pupils of the district</w:t>
      </w:r>
      <w:r>
        <w:t>))</w:t>
      </w:r>
      <w:r>
        <w:rPr/>
        <w:t xml:space="preserve">.</w:t>
      </w:r>
    </w:p>
    <w:p>
      <w:pPr>
        <w:spacing w:before="0" w:after="0" w:line="408" w:lineRule="exact"/>
        <w:ind w:left="0" w:right="0" w:firstLine="576"/>
        <w:jc w:val="left"/>
      </w:pPr>
      <w:r>
        <w:rPr/>
        <w:t xml:space="preserve">(3) </w:t>
      </w:r>
      <w:r>
        <w:rPr>
          <w:u w:val="single"/>
        </w:rPr>
        <w:t xml:space="preserve">In addition to the computed state funding assistance percentage developed in subsection (2) of this section, a school district shall be entitled to five additional percentage points if the project renovates a school building that has been listed on the national register of historic places, the Washington heritage register consistent with chapter 27.34 RCW, or listed on a local register of historic places.</w:t>
      </w:r>
    </w:p>
    <w:p>
      <w:pPr>
        <w:spacing w:before="0" w:after="0" w:line="408" w:lineRule="exact"/>
        <w:ind w:left="0" w:right="0" w:firstLine="576"/>
        <w:jc w:val="left"/>
      </w:pPr>
      <w:r>
        <w:rPr>
          <w:u w:val="single"/>
        </w:rPr>
        <w:t xml:space="preserve">(4)</w:t>
      </w:r>
      <w:r>
        <w:rPr/>
        <w:t xml:space="preserve">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computing the state funding assistance percentage in subsection (2) of this section and adjusting the percentage under subsection </w:t>
      </w:r>
      <w:r>
        <w:t>((</w:t>
      </w:r>
      <w:r>
        <w:rPr>
          <w:strike/>
        </w:rPr>
        <w:t xml:space="preserve">(3)</w:t>
      </w:r>
      <w:r>
        <w:t>))</w:t>
      </w:r>
      <w:r>
        <w:rPr/>
        <w:t xml:space="preserve"> </w:t>
      </w:r>
      <w:r>
        <w:rPr>
          <w:u w:val="single"/>
        </w:rPr>
        <w:t xml:space="preserve">(4)</w:t>
      </w:r>
      <w:r>
        <w:rPr/>
        <w:t xml:space="preserve">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t>((</w:t>
      </w:r>
      <w:r>
        <w:rPr>
          <w:strike/>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r>
        <w:t>))</w:t>
      </w:r>
      <w:r>
        <w:rPr/>
        <w:t xml:space="preserve"> </w:t>
      </w:r>
      <w:r>
        <w:rPr>
          <w:u w:val="single"/>
        </w:rPr>
        <w:t xml:space="preserve">(7) If the estimated total state general obligation bond appropriation for the school construction assistance program exceeds one-third of the total state general obligation bond appropriations, the state construction cost allocation used in calculating state funding assistance in the construction of school facilities shall be reduced in the omnibus capital appropriations act so that the total state general obligation bond appropriation for the school construction assistance program does not exceed one-third of the total state general obligation bond appropriations.</w:t>
      </w:r>
    </w:p>
    <w:p>
      <w:pPr>
        <w:spacing w:before="0" w:after="0" w:line="408" w:lineRule="exact"/>
        <w:ind w:left="0" w:right="0" w:firstLine="576"/>
        <w:jc w:val="left"/>
      </w:pPr>
      <w:r>
        <w:rPr>
          <w:u w:val="single"/>
        </w:rPr>
        <w:t xml:space="preserve">(8) State funding assistance in the construction of school facilities for grade kindergarten through grade twelve and classrooms planned for the exclusive use of students with disabilities shall be based on a space allocation per enrolled student and shall be provided as follows:</w:t>
      </w:r>
    </w:p>
    <w:p>
      <w:pPr>
        <w:spacing w:before="0" w:after="0" w:line="408" w:lineRule="exact"/>
        <w:ind w:left="0" w:right="0" w:firstLine="576"/>
        <w:jc w:val="left"/>
      </w:pPr>
      <w:r>
        <w:rPr>
          <w:u w:val="single"/>
        </w:rPr>
        <w:t xml:space="preserve">(a) For the fiscal year ending June 30, 2022:</w:t>
      </w:r>
    </w:p>
    <w:p>
      <w:pPr>
        <w:spacing w:before="0" w:after="0" w:line="408" w:lineRule="exact"/>
        <w:ind w:left="0" w:right="0" w:firstLine="576"/>
        <w:jc w:val="left"/>
      </w:pPr>
      <w:r>
        <w:rPr>
          <w:u w:val="single"/>
        </w:rPr>
        <w:t xml:space="preserve">(i) One hundred ten square feet maximum per student in kindergarten through grade six;</w:t>
      </w:r>
    </w:p>
    <w:p>
      <w:pPr>
        <w:spacing w:before="0" w:after="0" w:line="408" w:lineRule="exact"/>
        <w:ind w:left="0" w:right="0" w:firstLine="576"/>
        <w:jc w:val="left"/>
      </w:pPr>
      <w:r>
        <w:rPr>
          <w:u w:val="single"/>
        </w:rPr>
        <w:t xml:space="preserve">(ii) One hundred seventeen square feet maximum per student in grades seven and eight;</w:t>
      </w:r>
    </w:p>
    <w:p>
      <w:pPr>
        <w:spacing w:before="0" w:after="0" w:line="408" w:lineRule="exact"/>
        <w:ind w:left="0" w:right="0" w:firstLine="576"/>
        <w:jc w:val="left"/>
      </w:pPr>
      <w:r>
        <w:rPr>
          <w:u w:val="single"/>
        </w:rPr>
        <w:t xml:space="preserve">(iii) One hundred thirty square feet maximum per student in grades nine through twelve; and</w:t>
      </w:r>
    </w:p>
    <w:p>
      <w:pPr>
        <w:spacing w:before="0" w:after="0" w:line="408" w:lineRule="exact"/>
        <w:ind w:left="0" w:right="0" w:firstLine="576"/>
        <w:jc w:val="left"/>
      </w:pPr>
      <w:r>
        <w:rPr>
          <w:u w:val="single"/>
        </w:rPr>
        <w:t xml:space="preserve">(iv) One hundred forty-four square feet maximum per student in any grade for classrooms for students with developmental disabilities;</w:t>
      </w:r>
    </w:p>
    <w:p>
      <w:pPr>
        <w:spacing w:before="0" w:after="0" w:line="408" w:lineRule="exact"/>
        <w:ind w:left="0" w:right="0" w:firstLine="576"/>
        <w:jc w:val="left"/>
      </w:pPr>
      <w:r>
        <w:rPr>
          <w:u w:val="single"/>
        </w:rPr>
        <w:t xml:space="preserve">(b) For the fiscal year ending June 30, 2023:</w:t>
      </w:r>
    </w:p>
    <w:p>
      <w:pPr>
        <w:spacing w:before="0" w:after="0" w:line="408" w:lineRule="exact"/>
        <w:ind w:left="0" w:right="0" w:firstLine="576"/>
        <w:jc w:val="left"/>
      </w:pPr>
      <w:r>
        <w:rPr>
          <w:u w:val="single"/>
        </w:rPr>
        <w:t xml:space="preserve">(i) One hundred twenty square feet maximum per student in kindergarten through grade six;</w:t>
      </w:r>
    </w:p>
    <w:p>
      <w:pPr>
        <w:spacing w:before="0" w:after="0" w:line="408" w:lineRule="exact"/>
        <w:ind w:left="0" w:right="0" w:firstLine="576"/>
        <w:jc w:val="left"/>
      </w:pPr>
      <w:r>
        <w:rPr>
          <w:u w:val="single"/>
        </w:rPr>
        <w:t xml:space="preserve">(ii) One hundred seventeen square feet maximum per student in grades seven and eight;</w:t>
      </w:r>
    </w:p>
    <w:p>
      <w:pPr>
        <w:spacing w:before="0" w:after="0" w:line="408" w:lineRule="exact"/>
        <w:ind w:left="0" w:right="0" w:firstLine="576"/>
        <w:jc w:val="left"/>
      </w:pPr>
      <w:r>
        <w:rPr>
          <w:u w:val="single"/>
        </w:rPr>
        <w:t xml:space="preserve">(iii) One hundred thirty square feet maximum per student in grades nine through twelve; and</w:t>
      </w:r>
    </w:p>
    <w:p>
      <w:pPr>
        <w:spacing w:before="0" w:after="0" w:line="408" w:lineRule="exact"/>
        <w:ind w:left="0" w:right="0" w:firstLine="576"/>
        <w:jc w:val="left"/>
      </w:pPr>
      <w:r>
        <w:rPr>
          <w:u w:val="single"/>
        </w:rPr>
        <w:t xml:space="preserve">(iv) One hundred forty-four square feet maximum per student in any grade for classrooms for students with developmental disabilities; and</w:t>
      </w:r>
    </w:p>
    <w:p>
      <w:pPr>
        <w:spacing w:before="0" w:after="0" w:line="408" w:lineRule="exact"/>
        <w:ind w:left="0" w:right="0" w:firstLine="576"/>
        <w:jc w:val="left"/>
      </w:pPr>
      <w:r>
        <w:rPr>
          <w:u w:val="single"/>
        </w:rPr>
        <w:t xml:space="preserve">(c) For fiscal year ending June 30, 2024, and thereafter:</w:t>
      </w:r>
    </w:p>
    <w:p>
      <w:pPr>
        <w:spacing w:before="0" w:after="0" w:line="408" w:lineRule="exact"/>
        <w:ind w:left="0" w:right="0" w:firstLine="576"/>
        <w:jc w:val="left"/>
      </w:pPr>
      <w:r>
        <w:rPr>
          <w:u w:val="single"/>
        </w:rPr>
        <w:t xml:space="preserve">(i) One hundred thirty square feet maximum per student in kindergarten through grade six;</w:t>
      </w:r>
    </w:p>
    <w:p>
      <w:pPr>
        <w:spacing w:before="0" w:after="0" w:line="408" w:lineRule="exact"/>
        <w:ind w:left="0" w:right="0" w:firstLine="576"/>
        <w:jc w:val="left"/>
      </w:pPr>
      <w:r>
        <w:rPr>
          <w:u w:val="single"/>
        </w:rPr>
        <w:t xml:space="preserve">(ii) One hundred thirty square feet maximum per student in grades seven and eight;</w:t>
      </w:r>
    </w:p>
    <w:p>
      <w:pPr>
        <w:spacing w:before="0" w:after="0" w:line="408" w:lineRule="exact"/>
        <w:ind w:left="0" w:right="0" w:firstLine="576"/>
        <w:jc w:val="left"/>
      </w:pPr>
      <w:r>
        <w:rPr>
          <w:u w:val="single"/>
        </w:rPr>
        <w:t xml:space="preserve">(iii) One hundred forty square feet maximum per student in grades nine through twelve; and</w:t>
      </w:r>
    </w:p>
    <w:p>
      <w:pPr>
        <w:spacing w:before="0" w:after="0" w:line="408" w:lineRule="exact"/>
        <w:ind w:left="0" w:right="0" w:firstLine="576"/>
        <w:jc w:val="left"/>
      </w:pPr>
      <w:r>
        <w:rPr>
          <w:u w:val="single"/>
        </w:rPr>
        <w:t xml:space="preserve">(iv) One hundred forty-six square feet maximum per student in any grade for classrooms for students with developmental disabilities.</w:t>
      </w:r>
    </w:p>
    <w:p>
      <w:pPr>
        <w:spacing w:before="0" w:after="0" w:line="408" w:lineRule="exact"/>
        <w:ind w:left="0" w:right="0" w:firstLine="576"/>
        <w:jc w:val="left"/>
      </w:pPr>
      <w:r>
        <w:rPr>
          <w:u w:val="single"/>
        </w:rPr>
        <w:t xml:space="preserve">(9) Space allocations for state funding assistance purposes for districts with fewer than four hundred students in kindergarten through grade eight or fewer than four hundred students in senior or four-year high schools shall be provided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Kindergarten – 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52,000 square feet</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9-12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52,000 square feet</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develop a plan to implement further improvements in funding school construction. The plan must build upon improvements enacted in this act, and recommendations of the joint legislative task force on improving state funding for school construction established in section 7009, chapter 298, Laws of 2018. The plan must be developed in consultation with the school facilities technical advisory committee, and other technical experts. The plan must be submitted to the governor and appropriate committees of the legislature by June 30, 2022.</w:t>
      </w:r>
    </w:p>
    <w:p>
      <w:pPr>
        <w:spacing w:before="0" w:after="0" w:line="408" w:lineRule="exact"/>
        <w:ind w:left="0" w:right="0" w:firstLine="576"/>
        <w:jc w:val="left"/>
      </w:pPr>
      <w:r>
        <w:rPr/>
        <w:t xml:space="preserve">(2) The plan must include a program to preserve and renew school facilities constructed or modernized and accepted as complete by school boards of directors after January 1, 1994. The program must include provisions for school districts to nominate school facilities built and accepted before January 1, 1994, for eligibility for the preservation and renewal program, provided the facility meets specified criteria for inclusion in the program. The program is intended to reduce the costs for school facility preservation and renewal, compared to the existing modernization program for older school facilities. School facilities that receive funding under the preservation and renewal program are no longer eligible for modernization funding unless the school facility has suffered catastrophic loss from a natural or other disaster. The preservation and renewal program is intended to replace or renew school facility major building systems that have reached their expected life. The plan must include definitions of major building systems and their expected lives. The plan must: (a) Provide incentives to school districts to provide effective building system preventative maintenance programs; and (b) maximize long-term value from state and local investment in school facilities.</w:t>
      </w:r>
    </w:p>
    <w:p>
      <w:pPr>
        <w:spacing w:before="0" w:after="0" w:line="408" w:lineRule="exact"/>
        <w:ind w:left="0" w:right="0" w:firstLine="576"/>
        <w:jc w:val="left"/>
      </w:pPr>
      <w:r>
        <w:rPr/>
        <w:t xml:space="preserve">(3) The plan must include:</w:t>
      </w:r>
    </w:p>
    <w:p>
      <w:pPr>
        <w:spacing w:before="0" w:after="0" w:line="408" w:lineRule="exact"/>
        <w:ind w:left="0" w:right="0" w:firstLine="576"/>
        <w:jc w:val="left"/>
      </w:pPr>
      <w:r>
        <w:rPr/>
        <w:t xml:space="preserve">(a) A projection of the amount of space and expected costs necessary to meet the projected student enrollment growth over a ten-year period;</w:t>
      </w:r>
    </w:p>
    <w:p>
      <w:pPr>
        <w:spacing w:before="0" w:after="0" w:line="408" w:lineRule="exact"/>
        <w:ind w:left="0" w:right="0" w:firstLine="576"/>
        <w:jc w:val="left"/>
      </w:pPr>
      <w:r>
        <w:rPr/>
        <w:t xml:space="preserve">(b) A projection of the cost to modernize school facilities built before 1994 that are likely to require comprehensive modernization or replacement over a ten-year period;</w:t>
      </w:r>
    </w:p>
    <w:p>
      <w:pPr>
        <w:spacing w:before="0" w:after="0" w:line="408" w:lineRule="exact"/>
        <w:ind w:left="0" w:right="0" w:firstLine="576"/>
        <w:jc w:val="left"/>
      </w:pPr>
      <w:r>
        <w:rPr/>
        <w:t xml:space="preserve">(c) A projection of the cost for the school facility preservation and renewal program specified in subsection (2) of this section over a ten-year period;</w:t>
      </w:r>
    </w:p>
    <w:p>
      <w:pPr>
        <w:spacing w:before="0" w:after="0" w:line="408" w:lineRule="exact"/>
        <w:ind w:left="0" w:right="0" w:firstLine="576"/>
        <w:jc w:val="left"/>
      </w:pPr>
      <w:r>
        <w:rPr/>
        <w:t xml:space="preserve">(d) A projection of the cost to modernize school facilities eligible for small schools preservation funding under Substitute Senate Bill No. 5572 (2019) over a ten-year period;</w:t>
      </w:r>
    </w:p>
    <w:p>
      <w:pPr>
        <w:spacing w:before="0" w:after="0" w:line="408" w:lineRule="exact"/>
        <w:ind w:left="0" w:right="0" w:firstLine="576"/>
        <w:jc w:val="left"/>
      </w:pPr>
      <w:r>
        <w:rPr/>
        <w:t xml:space="preserve">(e) A projection of required state funds based on the existing financial assistance percentage for the projections in (a) through (d) of this subsection. To the extent that the sum total of required and necessary state funds exceeds the ten-year projection of common school construction account revenue plus thirty-five percent of projected state bond capacity, the plan must present options for closing the shortfall.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257c1efc13341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2069e88394b0d" /><Relationship Type="http://schemas.openxmlformats.org/officeDocument/2006/relationships/footer" Target="/word/footer1.xml" Id="Rc257c1efc13341b9" /></Relationships>
</file>