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4f61df29c4351" /></Relationships>
</file>

<file path=word/document.xml><?xml version="1.0" encoding="utf-8"?>
<w:document xmlns:w="http://schemas.openxmlformats.org/wordprocessingml/2006/main">
  <w:body>
    <w:p>
      <w:r>
        <w:t>S-1712.1</w:t>
      </w:r>
    </w:p>
    <w:p>
      <w:pPr>
        <w:jc w:val="center"/>
      </w:pPr>
      <w:r>
        <w:t>_______________________________________________</w:t>
      </w:r>
    </w:p>
    <w:p/>
    <w:p>
      <w:pPr>
        <w:jc w:val="center"/>
      </w:pPr>
      <w:r>
        <w:rPr>
          <w:b/>
        </w:rPr>
        <w:t>SENATE BILL 5932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Lovelett, and Hasegawa</w:t>
      </w:r>
    </w:p>
    <w:p/>
    <w:p>
      <w:r>
        <w:rPr>
          <w:t xml:space="preserve">Read first time 02/15/19.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for faculty at community and technical colleges; amending RCW 28B.52.035;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salaries for faculty at the community and technical colleges have not kept pace with the market. The legislature further finds that there is a shortage of faculty to teach in nursing programs at community and technical colleges across the state and that a pay increase may aid in filling these positions with qualified faculty. Therefore it is the intent of the legislature that all faculty at the community and technical colleges be given an increase in pay in the next bargaining period and that nursing faculty receive an additional increase in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2018 c 267 s 2 are each amended to read as follows:</w:t>
      </w:r>
    </w:p>
    <w:p>
      <w:pPr>
        <w:spacing w:before="0" w:after="0" w:line="408" w:lineRule="exact"/>
        <w:ind w:left="0" w:right="0" w:firstLine="576"/>
        <w:jc w:val="left"/>
      </w:pPr>
      <w:r>
        <w:rPr/>
        <w:t xml:space="preserve">(1) 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Except as provided in this section, provisions of written contracts relating to salary increases shall not exceed the amount or percentage established by the legislature in the appropriations act and allocated to the board of trustees by the state board for community and technical colleges.</w:t>
      </w:r>
    </w:p>
    <w:p>
      <w:pPr>
        <w:spacing w:before="0" w:after="0" w:line="408" w:lineRule="exact"/>
        <w:ind w:left="0" w:right="0" w:firstLine="576"/>
        <w:jc w:val="left"/>
      </w:pPr>
      <w:r>
        <w:rPr/>
        <w:t xml:space="preserve">(2) </w:t>
      </w:r>
      <w:r>
        <w:rPr>
          <w:u w:val="single"/>
        </w:rPr>
        <w:t xml:space="preserve">When negotiating contract provisions relating to salary increases, the parties must consider and, to the extent practicable, establish salaries that are no less than the average salary identified by the college and university professional association for human resources or a similar organization. Contract provisions relating to salary must include supplemental or premium pay for academic employees in a nursing program of at least twenty percent higher than the salary for other academic employees.</w:t>
      </w:r>
    </w:p>
    <w:p>
      <w:pPr>
        <w:spacing w:before="0" w:after="0" w:line="408" w:lineRule="exact"/>
        <w:ind w:left="0" w:right="0" w:firstLine="576"/>
        <w:jc w:val="left"/>
      </w:pPr>
      <w:r>
        <w:rPr>
          <w:u w:val="single"/>
        </w:rPr>
        <w:t xml:space="preserve">(3)</w:t>
      </w:r>
      <w:r>
        <w:rPr/>
        <w:t xml:space="preserve"> The written agreement acted upon by a board of trustees must be submitted to the director of the office of financial management by October 1 prior to the fiscal year in which the provisions of the agreement go into effect. The length of term of any such agreement shall be for not more than three fiscal years.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A board of trustees may provide additional compensation to academic employees that exceeds that provided by the legislature.</w:t>
      </w:r>
    </w:p>
    <w:p/>
    <w:p>
      <w:pPr>
        <w:jc w:val="center"/>
      </w:pPr>
      <w:r>
        <w:rPr>
          <w:b/>
        </w:rPr>
        <w:t>--- END ---</w:t>
      </w:r>
    </w:p>
    <w:sectPr>
      <w:pgNumType w:start="1"/>
      <w:footerReference xmlns:r="http://schemas.openxmlformats.org/officeDocument/2006/relationships" r:id="R752149fcebe444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da034e5714d7a" /><Relationship Type="http://schemas.openxmlformats.org/officeDocument/2006/relationships/footer" Target="/word/footer1.xml" Id="R752149fcebe44449" /></Relationships>
</file>