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423cef958b41d8" /></Relationships>
</file>

<file path=word/document.xml><?xml version="1.0" encoding="utf-8"?>
<w:document xmlns:w="http://schemas.openxmlformats.org/wordprocessingml/2006/main">
  <w:body>
    <w:p>
      <w:r>
        <w:t>S-1792.1</w:t>
      </w:r>
    </w:p>
    <w:p>
      <w:pPr>
        <w:jc w:val="center"/>
      </w:pPr>
      <w:r>
        <w:t>_______________________________________________</w:t>
      </w:r>
    </w:p>
    <w:p/>
    <w:p>
      <w:pPr>
        <w:jc w:val="center"/>
      </w:pPr>
      <w:r>
        <w:rPr>
          <w:b/>
        </w:rPr>
        <w:t>SENATE BILL 5941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Rolfes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71.09.140, and 71.09.250; and adding a new section to chapter 71.09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and individualized treatment</w:t>
      </w:r>
      <w:r>
        <w:rPr>
          <w:u w:val="single"/>
        </w:rPr>
        <w:t xml:space="preserve">, including an individualized discharge plan</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rPr/>
        <w:t xml:space="preserve">(5)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rPr/>
        <w:t xml:space="preserve">(6)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rPr/>
        <w:t xml:space="preserve">(7)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 If the secretary determines that the person's condition has so changed that either: (a) The person no longer meets the definition of a sexually violent predator; or (b) conditional release to a less restrictive alternative is in the best interest of the person and conditions can be imposed that adequately protect the community, the secretary shall authorize the person to petition the court for conditional release to a less restrictive alternative or unconditional discharge. The petition shall be filed with the court and served upon the prosecuting agency responsible for the initial commitment. The court, upon receipt of the petition for conditional release to a less restrictive alternative or unconditional discharge, shall within forty-five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w:t>
      </w:r>
      <w:r>
        <w:t>((</w:t>
      </w:r>
      <w:r>
        <w:rPr>
          <w:strike/>
        </w:rPr>
        <w:t xml:space="preserve">(4)</w:t>
      </w:r>
      <w:r>
        <w:t>))</w:t>
      </w:r>
      <w:r>
        <w:rPr/>
        <w:t xml:space="preserve"> </w:t>
      </w:r>
      <w:r>
        <w:rPr>
          <w:u w:val="single"/>
        </w:rPr>
        <w:t xml:space="preserve">(5)</w:t>
      </w:r>
      <w:r>
        <w:rPr/>
        <w:t xml:space="preserve">(a) of this section; and subsection </w:t>
      </w:r>
      <w:r>
        <w:t>((</w:t>
      </w:r>
      <w:r>
        <w:rPr>
          <w:strike/>
        </w:rPr>
        <w:t xml:space="preserve">(4)</w:t>
      </w:r>
      <w:r>
        <w:t>))</w:t>
      </w:r>
      <w:r>
        <w:rPr/>
        <w:t xml:space="preserve"> </w:t>
      </w:r>
      <w:r>
        <w:rPr>
          <w:u w:val="single"/>
        </w:rPr>
        <w:t xml:space="preserve">(5)</w:t>
      </w:r>
      <w:r>
        <w:rPr/>
        <w:t xml:space="preserve">(b)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w:t>
      </w:r>
      <w:r>
        <w:t>((</w:t>
      </w:r>
      <w:r>
        <w:rPr>
          <w:strike/>
        </w:rPr>
        <w:t xml:space="preserve">(4)</w:t>
      </w:r>
      <w:r>
        <w:t>))</w:t>
      </w:r>
      <w:r>
        <w:rPr/>
        <w:t xml:space="preserve"> </w:t>
      </w:r>
      <w:r>
        <w:rPr>
          <w:u w:val="single"/>
        </w:rPr>
        <w:t xml:space="preserve">(5)</w:t>
      </w:r>
      <w:r>
        <w:rPr/>
        <w:t xml:space="preserve">(a) of this section; and subsection </w:t>
      </w:r>
      <w:r>
        <w:t>((</w:t>
      </w:r>
      <w:r>
        <w:rPr>
          <w:strike/>
        </w:rPr>
        <w:t xml:space="preserve">(4)</w:t>
      </w:r>
      <w:r>
        <w:t>))</w:t>
      </w:r>
      <w:r>
        <w:rPr/>
        <w:t xml:space="preserve"> </w:t>
      </w:r>
      <w:r>
        <w:rPr>
          <w:u w:val="single"/>
        </w:rPr>
        <w:t xml:space="preserve">(5)</w:t>
      </w:r>
      <w:r>
        <w:rPr/>
        <w:t xml:space="preserve">(b) (i) or (ii) of this section; </w:t>
      </w:r>
      <w:r>
        <w:t>((</w:t>
      </w:r>
      <w:r>
        <w:rPr>
          <w:strike/>
        </w:rPr>
        <w:t xml:space="preserve">and</w:t>
      </w:r>
      <w:r>
        <w:t>))</w:t>
      </w:r>
    </w:p>
    <w:p>
      <w:pPr>
        <w:spacing w:before="0" w:after="0" w:line="408" w:lineRule="exact"/>
        <w:ind w:left="0" w:right="0" w:firstLine="576"/>
        <w:jc w:val="left"/>
      </w:pPr>
      <w:r>
        <w:rPr/>
        <w:t xml:space="preserve">(II) Presents the court with a specific placement satisfying the requirements of RCW 71.09.092</w:t>
      </w:r>
      <w:r>
        <w:rPr>
          <w:u w:val="single"/>
        </w:rPr>
        <w:t xml:space="preserve">; and</w:t>
      </w:r>
    </w:p>
    <w:p>
      <w:pPr>
        <w:spacing w:before="0" w:after="0" w:line="408" w:lineRule="exact"/>
        <w:ind w:left="0" w:right="0" w:firstLine="576"/>
        <w:jc w:val="left"/>
      </w:pPr>
      <w:r>
        <w:rPr>
          <w:u w:val="single"/>
        </w:rPr>
        <w:t xml:space="preserve">(III) If the placement includes a residence outside the county of commitment, presents the court with documentation of his or her efforts to secure an appropriate residential placement meeting the requirements of RCW 71.09.092 within the county of commitment</w:t>
      </w:r>
      <w:r>
        <w:rPr/>
        <w:t xml:space="preserve">.</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 If the court at the show cause hearing determines that either: (i) The state has failed to present prima facie evidence that the committed person continues to meet the definition of a sexually violent predator and that no proposed less restrictive alternative is in the best interest of the person and conditions cannot be imposed that would adequately protect the community; or (ii) probable cause exists to believe that the person's condition has so changed that: (A) The person no longer meets the definition of a sexually violent predator; or (B) release to a proposed less restrictive alternative would be in the best interest of the person and conditions can be imposed that would adequately protect the community, then the court shall set a hearing on either or both issues. </w:t>
      </w:r>
      <w:r>
        <w:rPr>
          <w:u w:val="single"/>
        </w:rPr>
        <w:t xml:space="preserve">If conditional release will be considered at the hearing, the court must provide notice of the hearing and a copy of the proposed placement plan to the department.</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the court shall consider whether release to a less restrictive alternative would be in the best interests of the person and conditions can be imposed that would adequately protect the community, without considering whether the person's condition has changed. The court may not find probable cause for a trial addressing less restrictive alternatives unless a proposed less restrictive alternative placement meeting the conditions of RCW 71.09.092 is presented to the court at the show cause hearing.</w:t>
      </w:r>
    </w:p>
    <w:p>
      <w:pPr>
        <w:spacing w:before="0" w:after="0" w:line="408" w:lineRule="exact"/>
        <w:ind w:left="0" w:right="0" w:firstLine="576"/>
        <w:jc w:val="left"/>
      </w:pPr>
      <w:r>
        <w:rPr/>
        <w:t xml:space="preserve">(3) </w:t>
      </w:r>
      <w:r>
        <w:rPr>
          <w:u w:val="single"/>
        </w:rPr>
        <w:t xml:space="preserve">If a hearing is set on the issue of a committed person's conditional release to a less restrictive alternative, either upon petition following the secretary's authorization under subsection (1) of this section or following a show cause hearing under subsection (2) of this section, the department must review the committed person's proposed less restrictive alternative placement plan and provide a report for the court's review. The report must be filed with the court and served on the parties at least fourteen days before the scheduled hearing. At a minimum, the report must contain the following:</w:t>
      </w:r>
    </w:p>
    <w:p>
      <w:pPr>
        <w:spacing w:before="0" w:after="0" w:line="408" w:lineRule="exact"/>
        <w:ind w:left="0" w:right="0" w:firstLine="576"/>
        <w:jc w:val="left"/>
      </w:pPr>
      <w:r>
        <w:rPr>
          <w:u w:val="single"/>
        </w:rPr>
        <w:t xml:space="preserve">(a) Based on the committed person's record and other information known to the department, the department must provide an assessment as to the appropriateness of the placement plan proposed by the committed person and any recommendations for specific conditions of release that are in the best interest of the person and that are necessary to adequately protect the community; and</w:t>
      </w:r>
    </w:p>
    <w:p>
      <w:pPr>
        <w:spacing w:before="0" w:after="0" w:line="408" w:lineRule="exact"/>
        <w:ind w:left="0" w:right="0" w:firstLine="576"/>
        <w:jc w:val="left"/>
      </w:pPr>
      <w:r>
        <w:rPr>
          <w:u w:val="single"/>
        </w:rPr>
        <w:t xml:space="preserve">(b) If the committed person has proposed a less restrictive placement plan that includes a residence outside of the county of commitment, the department must investigate and report on whether or not an appropriate placement in the county of commitment is available. If the department's conclusion is that an appropriate placement in the county of commitment is not available due to lack of treatment providers, available housing, or other factors, the department must investigate and report on whether or not an appropriate placement in a county other than the county proposed by the committed person is available. If the department is unable to identify an appropriate placement in the county of commitment or a county other than the county of residence proposed by the committed person, the report must contain an explanation as to its reasoning in coming to this conclusion. The explanation must detail all efforts to find alternative treatment providers and residential placement options and other inquiries conducted as to alternative placements.</w:t>
      </w:r>
    </w:p>
    <w:p>
      <w:pPr>
        <w:spacing w:before="0" w:after="0" w:line="408" w:lineRule="exact"/>
        <w:ind w:left="0" w:right="0" w:firstLine="576"/>
        <w:jc w:val="left"/>
      </w:pPr>
      <w:r>
        <w:rPr>
          <w:u w:val="single"/>
        </w:rPr>
        <w:t xml:space="preserve">(4)</w:t>
      </w:r>
      <w:r>
        <w:rPr/>
        <w:t xml:space="preserve">(a)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w:t>
      </w:r>
      <w:r>
        <w:t>((</w:t>
      </w:r>
      <w:r>
        <w:rPr>
          <w:strike/>
        </w:rPr>
        <w:t xml:space="preserve">(3)</w:t>
      </w:r>
      <w:r>
        <w:t>))</w:t>
      </w:r>
      <w:r>
        <w:rPr/>
        <w:t xml:space="preserve"> </w:t>
      </w:r>
      <w:r>
        <w:rPr>
          <w:u w:val="single"/>
        </w:rPr>
        <w:t xml:space="preserve">(4)</w:t>
      </w:r>
      <w:r>
        <w:rPr/>
        <w:t xml:space="preserve">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w:t>
      </w:r>
      <w:r>
        <w:t>((</w:t>
      </w:r>
      <w:r>
        <w:rPr>
          <w:strike/>
        </w:rPr>
        <w:t xml:space="preserve">(3)</w:t>
      </w:r>
      <w:r>
        <w:t>))</w:t>
      </w:r>
      <w:r>
        <w:rPr/>
        <w:t xml:space="preserve"> </w:t>
      </w:r>
      <w:r>
        <w:rPr>
          <w:u w:val="single"/>
        </w:rPr>
        <w:t xml:space="preserve">(4)</w:t>
      </w:r>
      <w:r>
        <w:rPr/>
        <w:t xml:space="preserve">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person has been convicted or found not guilty by reason of insanity of an offense with a victim under the age of eighteen, the housing proposed in subsection (3) of this section is not within one-quarter mile of any public or private school providing instruction to kindergarten or any of grades one through twelve; (5) if proposed housing is outside of the county of commitment, a documented effort was made to find an appropriate residential placement in the county of commitment; (6)</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(7)</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The court </w:t>
      </w:r>
      <w:r>
        <w:rPr>
          <w:u w:val="single"/>
        </w:rPr>
        <w:t xml:space="preserve">shall consider any conditions proposed by the department under RCW 71.09.090(3). The court</w:t>
      </w:r>
      <w:r>
        <w:rPr/>
        <w:t xml:space="preserve"> shall </w:t>
      </w:r>
      <w:r>
        <w:rPr>
          <w:u w:val="single"/>
        </w:rPr>
        <w:t xml:space="preserve">additionally</w:t>
      </w:r>
      <w:r>
        <w:rPr/>
        <w:t xml:space="preserve"> order the department of corrections to investigate the less restrictive alternative and recommend any additional conditions to the court. These conditions shall include, but are not limited to the following: Specification of residence,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the court shall consider whether it is appropriate to release the person to the person's county of commitment. </w:t>
      </w:r>
      <w:r>
        <w:rPr>
          <w:u w:val="single"/>
        </w:rPr>
        <w:t xml:space="preserve">In making its determination, the court must consider the report and any alternative placements proposed by the department under RCW 71.09.090(3).</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the person's county of commitment, unless the court determines that the person's return to his or her county of commitment would be inappropriate </w:t>
      </w:r>
      <w:r>
        <w:t>((</w:t>
      </w:r>
      <w:r>
        <w:rPr>
          <w:strike/>
        </w:rPr>
        <w:t xml:space="preserve">considering</w:t>
      </w:r>
      <w:r>
        <w:t>))</w:t>
      </w:r>
      <w:r>
        <w:rPr/>
        <w:t xml:space="preserve"> </w:t>
      </w:r>
      <w:r>
        <w:rPr>
          <w:u w:val="single"/>
        </w:rPr>
        <w:t xml:space="preserve">based on consideration of: A</w:t>
      </w:r>
      <w:r>
        <w:rPr/>
        <w:t xml:space="preserve">ny court-issued protection orders, victim safety concerns </w:t>
      </w:r>
      <w:r>
        <w:rPr>
          <w:u w:val="single"/>
        </w:rPr>
        <w:t xml:space="preserve">that cannot be addressed by ordering the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to a county other than the county of commitment, the court shall enter specific findings concerning the decision.</w:t>
      </w:r>
    </w:p>
    <w:p>
      <w:pPr>
        <w:spacing w:before="0" w:after="0" w:line="408" w:lineRule="exact"/>
        <w:ind w:left="0" w:right="0" w:firstLine="576"/>
        <w:jc w:val="left"/>
      </w:pPr>
      <w:r>
        <w:rPr>
          <w:u w:val="single"/>
        </w:rPr>
        <w:t xml:space="preserve">(b) If a proposed placement plan includes a residence in a county other than the county of commitment, the state shall serve written notice of the plan on the county prosecuting attorney of the proposed county of residence at least ten days before the hearing authorizing less restrictive placement. The county prosecuting attorney may file an objection with the court no fewer than five days prior to the court's final approval of the placement. The court must consider the county prosecutor's objection prior to approving the placement.</w:t>
      </w:r>
    </w:p>
    <w:p>
      <w:pPr>
        <w:spacing w:before="0" w:after="0" w:line="408" w:lineRule="exact"/>
        <w:ind w:left="0" w:right="0" w:firstLine="576"/>
        <w:jc w:val="left"/>
      </w:pPr>
      <w:r>
        <w:rPr>
          <w:u w:val="single"/>
        </w:rPr>
        <w:t xml:space="preserve">(c)</w:t>
      </w:r>
      <w:r>
        <w:rPr/>
        <w:t xml:space="preserve"> When the department </w:t>
      </w:r>
      <w:r>
        <w:t>((</w:t>
      </w:r>
      <w:r>
        <w:rPr>
          <w:strike/>
        </w:rPr>
        <w:t xml:space="preserve">or court</w:t>
      </w:r>
      <w:r>
        <w:t>))</w:t>
      </w:r>
      <w:r>
        <w:rPr/>
        <w:t xml:space="preserve"> assists in developing a </w:t>
      </w:r>
      <w:r>
        <w:rPr>
          <w:u w:val="single"/>
        </w:rPr>
        <w:t xml:space="preserve">less restrictive alternative</w:t>
      </w:r>
      <w:r>
        <w:rPr/>
        <w:t xml:space="preserve"> placement under this section </w:t>
      </w:r>
      <w:r>
        <w:t>((</w:t>
      </w:r>
      <w:r>
        <w:rPr>
          <w:strike/>
        </w:rPr>
        <w:t xml:space="preserve">which is outside of the county of commitment, and there are two or more options for placement,</w:t>
      </w:r>
      <w:r>
        <w:t>))</w:t>
      </w:r>
      <w:r>
        <w:rPr/>
        <w:t xml:space="preserve"> it shall </w:t>
      </w:r>
      <w:r>
        <w:rPr>
          <w:u w:val="single"/>
        </w:rPr>
        <w:t xml:space="preserve">attempt to identify an appropriate placement in the committed person's county of commitment. If such placement is not available, it shall</w:t>
      </w:r>
      <w:r>
        <w:rPr/>
        <w:t xml:space="preserve"> endeavor to develop the placement in a manner that does not have a disproportionate effect on a single county </w:t>
      </w:r>
      <w:r>
        <w:rPr>
          <w:u w:val="single"/>
        </w:rPr>
        <w:t xml:space="preserve">and document its rationale for the placement chosen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(f)</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rPr/>
        <w:t xml:space="preserve">(7)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(6)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 At the earliest possible date, and in no event later than thirty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w:t>
      </w:r>
      <w:r>
        <w:rPr>
          <w:u w:val="single"/>
        </w:rPr>
        <w:t xml:space="preserve">change of address,</w:t>
      </w:r>
      <w:r>
        <w:rPr/>
        <w:t xml:space="preserve"> unconditional discharge, or escape, to the following:</w:t>
      </w:r>
    </w:p>
    <w:p>
      <w:pPr>
        <w:spacing w:before="0" w:after="0" w:line="408" w:lineRule="exact"/>
        <w:ind w:left="0" w:right="0" w:firstLine="576"/>
        <w:jc w:val="left"/>
      </w:pPr>
      <w:r>
        <w:rPr/>
        <w:t xml:space="preserve">(a) The chief of police of the city, if any, in which the person will reside or in which placement will be made under a less restrictive alternative;</w:t>
      </w:r>
    </w:p>
    <w:p>
      <w:pPr>
        <w:spacing w:before="0" w:after="0" w:line="408" w:lineRule="exact"/>
        <w:ind w:left="0" w:right="0" w:firstLine="576"/>
        <w:jc w:val="left"/>
      </w:pPr>
      <w:r>
        <w:rPr/>
        <w:t xml:space="preserve">(b) The sheriff of the county in which the person will reside or in which placement will be made under a less restrictive alternative; and</w:t>
      </w:r>
    </w:p>
    <w:p>
      <w:pPr>
        <w:spacing w:before="0" w:after="0" w:line="408" w:lineRule="exact"/>
        <w:ind w:left="0" w:right="0" w:firstLine="576"/>
        <w:jc w:val="left"/>
      </w:pPr>
      <w:r>
        <w:rPr/>
        <w:t xml:space="preserve">(c)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twenty-four, consisting of up to fifteen transitional beds and up to nine pretransitional beds. The residents occupying the transitional beds shall be the only residents eligible for transitional services occurring in Pierce county. In no event shall more than fifteen residents of the secure community transition facility be participating in off-island transitional, educational, or employment activity at the same time in Pierce county. The department shall provide the Pierce county sheriff, or his or her designee, with a list of the fifteen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The state is authorized to site and operate secure community transition facilities in any county in the state.</w:t>
      </w:r>
      <w:r>
        <w:rPr/>
        <w:t xml:space="preserve"> In identifying potential </w:t>
      </w:r>
      <w:r>
        <w:rPr>
          <w:u w:val="single"/>
        </w:rPr>
        <w:t xml:space="preserve">counties within which to site a secure community transition facility, and in identifying</w:t>
      </w:r>
      <w:r>
        <w:rPr/>
        <w:t xml:space="preserve"> sites within a county for the location of a secure community transition facility, the department shall work with and assist local governments to provide for the equitable distribution of such facilities. In coordinating and deciding upon the siting of </w:t>
      </w:r>
      <w:r>
        <w:rPr>
          <w:u w:val="single"/>
        </w:rPr>
        <w:t xml:space="preserve">a</w:t>
      </w:r>
      <w:r>
        <w:rPr/>
        <w:t xml:space="preserve"> secure community transition </w:t>
      </w:r>
      <w:r>
        <w:t>((</w:t>
      </w:r>
      <w:r>
        <w:rPr>
          <w:strike/>
        </w:rPr>
        <w:t xml:space="preserve">facilities</w:t>
      </w:r>
      <w:r>
        <w:t>))</w:t>
      </w:r>
      <w:r>
        <w:rPr/>
        <w:t xml:space="preserve"> </w:t>
      </w:r>
      <w:r>
        <w:rPr>
          <w:u w:val="single"/>
        </w:rPr>
        <w:t xml:space="preserve">facility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
      <w:pPr>
        <w:jc w:val="center"/>
      </w:pPr>
      <w:r>
        <w:rPr>
          <w:b/>
        </w:rPr>
        <w:t>--- END ---</w:t>
      </w:r>
    </w:p>
    <w:sectPr>
      <w:pgNumType w:start="1"/>
      <w:footerReference xmlns:r="http://schemas.openxmlformats.org/officeDocument/2006/relationships" r:id="R1194014743224f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598583e24a4cca" /><Relationship Type="http://schemas.openxmlformats.org/officeDocument/2006/relationships/footer" Target="/word/footer1.xml" Id="R1194014743224fc9" /></Relationships>
</file>