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9493232fb4509" /></Relationships>
</file>

<file path=word/document.xml><?xml version="1.0" encoding="utf-8"?>
<w:document xmlns:w="http://schemas.openxmlformats.org/wordprocessingml/2006/main">
  <w:body>
    <w:p>
      <w:r>
        <w:t>S-2427.1</w:t>
      </w:r>
    </w:p>
    <w:p>
      <w:pPr>
        <w:jc w:val="center"/>
      </w:pPr>
      <w:r>
        <w:t>_______________________________________________</w:t>
      </w:r>
    </w:p>
    <w:p/>
    <w:p>
      <w:pPr>
        <w:jc w:val="center"/>
      </w:pPr>
      <w:r>
        <w:rPr>
          <w:b/>
        </w:rPr>
        <w:t>SUBSTITUTE SENATE BILL 5963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state budget outlook to include an inflationary increase to the cost of employee and provider salaries, wages, and rates; amending RCW 82.33.060;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the state budget outlook work group shall prepare, subject to the approval of the economic and revenue forecast council under RCW 82.33.010, an official state budget outlook for state revenues and expenditures for the general fund and related funds. In odd</w:t>
      </w:r>
      <w:r>
        <w:rPr/>
        <w:noBreakHyphen/>
      </w:r>
      <w:r>
        <w:rPr/>
        <w:t xml:space="preserve">numbered years, the period covered by the November state budget outlook shall be the current fiscal biennium and the next ensuing fiscal biennium. In even</w:t>
      </w:r>
      <w:r>
        <w:rPr/>
        <w:noBreakHyphen/>
      </w:r>
      <w:r>
        <w:rPr/>
        <w:t xml:space="preserve">numbered years, the period covered by the November state budget outlook shall be the next two ensuing fiscal biennia.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w:t>
      </w:r>
      <w:r>
        <w:rPr>
          <w:u w:val="single"/>
        </w:rPr>
        <w:t xml:space="preserve">Beginning in the 2019-2021 fiscal biennium, estimates of maintenance items for the ensuing biennium expenditures must also include an inflationary increase to salaries of public employees and wages and rates for providers considered employees solely for the purposes of collective bargaining that is based on the implicit price deflator, compiled by the bureau of economic analysis, United States department of commerce.</w:t>
      </w:r>
      <w:r>
        <w:rPr/>
        <w:t xml:space="preserv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ef153dcd2a42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b5c18da484ab0" /><Relationship Type="http://schemas.openxmlformats.org/officeDocument/2006/relationships/footer" Target="/word/footer1.xml" Id="Rd9ef153dcd2a424f" /></Relationships>
</file>