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b3ee4706848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Kuderer, and Van De Wege)</w:t>
      </w:r>
    </w:p>
    <w:p/>
    <w:p>
      <w:r>
        <w:rPr>
          <w:t xml:space="preserve">READ FIRST TIME 04/05/19.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on vapor and heated tobacco products to fund cancer research and support local public health; amending RCW 66.08.145, 66.44.010, 82.24.510, 82.24.550, 82.26.060, 82.26.080, 82.26.150, 82.26.220, 82.32.300, 70.345.010, 70.345.030, 70.345.090, 82.24.010, 82.26.020, and 43.06.450; reenacting and amending RCW 82.26.010;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that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any vapor cartridge or other container, or similar product or device.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in an amount equal to ten cents per milliliter of solution and a proportionate tax at the like rate on all fractional parts of a milliliter thereof. The tax on vapor products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fund created in RCW 43.348.060; and</w:t>
      </w:r>
    </w:p>
    <w:p>
      <w:pPr>
        <w:spacing w:before="0" w:after="0" w:line="408" w:lineRule="exact"/>
        <w:ind w:left="0" w:right="0" w:firstLine="576"/>
        <w:jc w:val="left"/>
      </w:pPr>
      <w:r>
        <w:rPr/>
        <w:t xml:space="preserve">(ii) Fifty percent into the foundational public health services account created in section 104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bundled transaction that includes a vapor product is subject to the tax imposed under this chapter on only the milliliters, or portion of milliliters, of vapor products included in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foundational public health services account is created in the state treasury. Fifty percent of the revenues from the tax collected under section 102 of this act and fifty percent of the revenues from the tax collected on heated tobacco products under RCW 82.26.020 must be deposited into the account for the purpose of promoting governmental public health.</w:t>
      </w:r>
    </w:p>
    <w:p>
      <w:pPr>
        <w:spacing w:before="0" w:after="0" w:line="408" w:lineRule="exact"/>
        <w:ind w:left="0" w:right="0" w:firstLine="576"/>
        <w:jc w:val="left"/>
      </w:pPr>
      <w:r>
        <w:rPr/>
        <w:t xml:space="preserve">(2) To determine the funding for foundational public health services pursuant to subsection (1) of this section, the governmental public health system must work together to: (a) Arrive at a mutually acceptable allocation and distribution of funds from the account using the process established in chapter 14, Laws of 2019;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107 of this act for a distributor and for those invoices required to be provided to retailers under section 109 of this act.</w:t>
      </w:r>
    </w:p>
    <w:p>
      <w:pPr>
        <w:spacing w:before="0" w:after="0" w:line="408" w:lineRule="exact"/>
        <w:ind w:left="0" w:right="0" w:firstLine="576"/>
        <w:jc w:val="left"/>
      </w:pPr>
      <w:r>
        <w:rPr/>
        <w:t xml:space="preserve">(2) If a retailer fails to keep invoices as required under section 109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506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506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w:t>
      </w:r>
      <w:r>
        <w:rPr>
          <w:u w:val="single"/>
        </w:rPr>
        <w:t xml:space="preserve">including heated tobacco products as defined in subsection (9) of this section,</w:t>
      </w:r>
      <w:r>
        <w:rPr/>
        <w:t xml:space="preserve">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rPr>
          <w:u w:val="single"/>
        </w:rPr>
        <w:t xml:space="preserve">; and</w:t>
      </w:r>
    </w:p>
    <w:p>
      <w:pPr>
        <w:spacing w:before="0" w:after="0" w:line="408" w:lineRule="exact"/>
        <w:ind w:left="0" w:right="0" w:firstLine="576"/>
        <w:jc w:val="left"/>
      </w:pPr>
      <w:r>
        <w:rPr>
          <w:u w:val="single"/>
        </w:rPr>
        <w:t xml:space="preserve">(e) For heated tobacco products, sixty cents per ounce of tobacco, plus a proportionate tax at the like rate on any fractional parts of an ounce. The tax on heated tobacco products is imposed based on the net weight of tobacco as listed by the manufacturer</w:t>
      </w:r>
      <w:r>
        <w:rPr/>
        <w:t xml:space="preserve">.</w:t>
      </w:r>
    </w:p>
    <w:p>
      <w:pPr>
        <w:spacing w:before="0" w:after="0" w:line="408" w:lineRule="exact"/>
        <w:ind w:left="0" w:right="0" w:firstLine="576"/>
        <w:jc w:val="left"/>
      </w:pPr>
      <w:r>
        <w:rPr/>
        <w:t xml:space="preserve">(2) </w:t>
      </w:r>
      <w:r>
        <w:rPr>
          <w:u w:val="single"/>
        </w:rPr>
        <w:t xml:space="preserve">The tax imposed on a product under this chapter must be reduced by fifty percent if that same product is issued a modified risk tobacco product order by the secretary of the United States department of health and human services pursuant to Title 21 U.S.C. Sec. 387k(g)(1)</w:t>
      </w:r>
      <w:r>
        <w:rPr>
          <w:u w:val="single"/>
        </w:rPr>
        <w:t xml:space="preserve">.</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 (1)(e)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104 of this act.</w:t>
      </w:r>
    </w:p>
    <w:p>
      <w:pPr>
        <w:spacing w:before="0" w:after="0" w:line="408" w:lineRule="exact"/>
        <w:ind w:left="0" w:right="0" w:firstLine="576"/>
        <w:jc w:val="left"/>
      </w:pPr>
      <w:r>
        <w:rPr>
          <w:u w:val="single"/>
        </w:rPr>
        <w:t xml:space="preserve">(c) The funding provided under (b) of this subsection is intended to supplement and not supplant general fund investments in cancer research and foundational public health services.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 and therefore the liquor and cannabis board is responsible for enforcement activities that come under the terms of chapter 82.--- RCW (the new chapter created in section 506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506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104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987fe2bcf077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e15182af54045" /><Relationship Type="http://schemas.openxmlformats.org/officeDocument/2006/relationships/footer" Target="/word/footer1.xml" Id="R987fe2bcf07741ad" /></Relationships>
</file>