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efed2981945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revenues by revising tax preferences and enforcement processes; amending RCW 82.08.0273, 47.68.255, and 88.02.400; reenacting and amending RCW 46.16A.030; adding a new section to chapter 10.05 RCW; creating a new section;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a Deferred Finding Program for Nonpayment of License Fees and Taxes for Vehicle, Vessel, and Aircraft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ffc9c2c7abe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ff7884dad4688" /><Relationship Type="http://schemas.openxmlformats.org/officeDocument/2006/relationships/footer" Target="/word/footer1.xml" Id="R2ffc9c2c7abe4846" /></Relationships>
</file>