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9d3e0173614802" /></Relationships>
</file>

<file path=word/document.xml><?xml version="1.0" encoding="utf-8"?>
<w:document xmlns:w="http://schemas.openxmlformats.org/wordprocessingml/2006/main">
  <w:body>
    <w:p>
      <w:r>
        <w:t>S-4952.1</w:t>
      </w:r>
    </w:p>
    <w:p>
      <w:pPr>
        <w:jc w:val="center"/>
      </w:pPr>
      <w:r>
        <w:t>_______________________________________________</w:t>
      </w:r>
    </w:p>
    <w:p/>
    <w:p>
      <w:pPr>
        <w:jc w:val="center"/>
      </w:pPr>
      <w:r>
        <w:rPr>
          <w:b/>
        </w:rPr>
        <w:t>SENATE BILL 6057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Rivers, Wilson, C., Conway, King, and Nguyen</w:t>
      </w:r>
    </w:p>
    <w:p/>
    <w:p>
      <w:r>
        <w:rPr>
          <w:t xml:space="preserve">Prefiled 12/09/19.</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price differentials in the sale of marijuana; amending RCW 69.50.380;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person licensed under this chapter may not discriminate in price in selling marijuana to any other person licensed under this chapter. Price differentials for sales of marijuana in any single transaction or recurring long-term contracts based upon bona fide business factors including, but not limited to, competitive conditions, costs of servicing a marijuana retailer's account, efficiencies in handling goods, or quantity of marijuana products purchased in the transaction or series of transactions, to the extent the differentials are not unlawful under trade regulation laws applicable to goods of all kinds, do not violate this section.</w:t>
      </w:r>
    </w:p>
    <w:p>
      <w:pPr>
        <w:spacing w:before="0" w:after="0" w:line="408" w:lineRule="exact"/>
        <w:ind w:left="0" w:right="0" w:firstLine="576"/>
        <w:jc w:val="left"/>
      </w:pPr>
      <w:r>
        <w:rPr/>
        <w:t xml:space="preserve">(2) Price differentials for sales of marijuana products permitted under this section are not conditional sales under RCW 69.50.380 and may not be deemed to result in undue influence or adverse impact to public health and safety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380</w:t>
      </w:r>
      <w:r>
        <w:rPr/>
        <w:t xml:space="preserve"> and 2015 2nd sp.s. c 4 s 211 are each amended to read as follows:</w:t>
      </w:r>
    </w:p>
    <w:p>
      <w:pPr>
        <w:spacing w:before="0" w:after="0" w:line="408" w:lineRule="exact"/>
        <w:ind w:left="0" w:right="0" w:firstLine="576"/>
        <w:jc w:val="left"/>
      </w:pPr>
      <w:r>
        <w:rPr/>
        <w:t xml:space="preserve">(1) Marijuana producers, processors, and retailers are prohibited from making sales of any marijuana or marijuana product, if the sale of the marijuana or marijuana product is conditioned upon the buyer's purchase of any service or nonmarijuana product. This subsection applies whether the buyer purchases such service or nonmarijuana product at the time of sale of the marijuana or marijuana product, or in a separate transaction. </w:t>
      </w:r>
      <w:r>
        <w:rPr>
          <w:u w:val="single"/>
        </w:rPr>
        <w:t xml:space="preserve">This subsection does not apply to price differentials permitted under section 1 of this act.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"Marijuana product" means "useable marijuana," "marijuana concentrates," and "marijuana-infused products," as those terms are defined in RCW 69.50.101.</w:t>
      </w:r>
    </w:p>
    <w:p>
      <w:pPr>
        <w:spacing w:before="0" w:after="0" w:line="408" w:lineRule="exact"/>
        <w:ind w:left="0" w:right="0" w:firstLine="576"/>
        <w:jc w:val="left"/>
      </w:pPr>
      <w:r>
        <w:rPr/>
        <w:t xml:space="preserve">(b) "Nonmarijuana product" includes paraphernalia, promotional items, lighters, bags, boxes, containers, and such other items as may be identified by the state liquor and cannabis board.</w:t>
      </w:r>
    </w:p>
    <w:p>
      <w:pPr>
        <w:spacing w:before="0" w:after="0" w:line="408" w:lineRule="exact"/>
        <w:ind w:left="0" w:right="0" w:firstLine="576"/>
        <w:jc w:val="left"/>
      </w:pPr>
      <w:r>
        <w:rPr/>
        <w:t xml:space="preserve">(c) "Selling price" has the same meaning as in RCW 69.50.535.</w:t>
      </w:r>
    </w:p>
    <w:p>
      <w:pPr>
        <w:spacing w:before="0" w:after="0" w:line="408" w:lineRule="exact"/>
        <w:ind w:left="0" w:right="0" w:firstLine="576"/>
        <w:jc w:val="left"/>
      </w:pPr>
      <w:r>
        <w:rPr/>
        <w:t xml:space="preserve">(d) "Service" includes memberships and any other services identified by the state liquor and cannabis board.</w:t>
      </w:r>
    </w:p>
    <w:p/>
    <w:p>
      <w:pPr>
        <w:jc w:val="center"/>
      </w:pPr>
      <w:r>
        <w:rPr>
          <w:b/>
        </w:rPr>
        <w:t>--- END ---</w:t>
      </w:r>
    </w:p>
    <w:sectPr>
      <w:pgNumType w:start="1"/>
      <w:footerReference xmlns:r="http://schemas.openxmlformats.org/officeDocument/2006/relationships" r:id="Rca4dc8bd47614a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89b2ffe9a2455c" /><Relationship Type="http://schemas.openxmlformats.org/officeDocument/2006/relationships/footer" Target="/word/footer1.xml" Id="Rca4dc8bd47614ae6" /></Relationships>
</file>