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d8a35073b45d0" /></Relationships>
</file>

<file path=word/document.xml><?xml version="1.0" encoding="utf-8"?>
<w:document xmlns:w="http://schemas.openxmlformats.org/wordprocessingml/2006/main">
  <w:body>
    <w:p>
      <w:r>
        <w:t>S-5890.1</w:t>
      </w:r>
    </w:p>
    <w:p>
      <w:pPr>
        <w:jc w:val="center"/>
      </w:pPr>
      <w:r>
        <w:t>_______________________________________________</w:t>
      </w:r>
    </w:p>
    <w:p/>
    <w:p>
      <w:pPr>
        <w:jc w:val="center"/>
      </w:pPr>
      <w:r>
        <w:rPr>
          <w:b/>
        </w:rPr>
        <w:t>SUBSTITUTE SENATE BILL 6086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Hasegawa, Keiser, Kuderer, and Nguyen)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medications for people with opioid use disorder; adding a new section to chapter 18.64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opioid use disorder is a public health crisis. Access to medications to treat this disease needs to be made readily available, especially to vulnerable populations who may not be able to access medical care or a pharmacy.</w:t>
      </w:r>
    </w:p>
    <w:p>
      <w:pPr>
        <w:spacing w:before="0" w:after="0" w:line="408" w:lineRule="exact"/>
        <w:ind w:left="0" w:right="0" w:firstLine="576"/>
        <w:jc w:val="left"/>
      </w:pPr>
      <w:r>
        <w:rPr/>
        <w:t xml:space="preserve">(2) The legislature recognizes that increased access to buprenorphine, as well as additional medications necessary to aid in recovery, could benefit individuals who are suffering from opioid use disorder. The legislature further recognizes that access to pharmacies may be difficult for vulnerable populations. To increase access to medications while ensuring patient safety the legislature intends to create a new credential to allow for a pharmacy license to be extended to a remote dispensing site where technology is used to dispense medications.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approved by the United States food and drug administration for the treatment of opioid use disorder.</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
      <w:pPr>
        <w:jc w:val="center"/>
      </w:pPr>
      <w:r>
        <w:rPr>
          <w:b/>
        </w:rPr>
        <w:t>--- END ---</w:t>
      </w:r>
    </w:p>
    <w:sectPr>
      <w:pgNumType w:start="1"/>
      <w:footerReference xmlns:r="http://schemas.openxmlformats.org/officeDocument/2006/relationships" r:id="R48b563959512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b59f5cd9f482c" /><Relationship Type="http://schemas.openxmlformats.org/officeDocument/2006/relationships/footer" Target="/word/footer1.xml" Id="R48b5639595124e6e" /></Relationships>
</file>