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1875af0fb9b4f5a" /></Relationships>
</file>

<file path=word/document.xml><?xml version="1.0" encoding="utf-8"?>
<w:document xmlns:w="http://schemas.openxmlformats.org/wordprocessingml/2006/main">
  <w:body>
    <w:p>
      <w:r>
        <w:t>S-5088.3</w:t>
      </w:r>
    </w:p>
    <w:p>
      <w:pPr>
        <w:jc w:val="center"/>
      </w:pPr>
      <w:r>
        <w:t>_______________________________________________</w:t>
      </w:r>
    </w:p>
    <w:p/>
    <w:p>
      <w:pPr>
        <w:jc w:val="center"/>
      </w:pPr>
      <w:r>
        <w:rPr>
          <w:b/>
        </w:rPr>
        <w:t>SENATE BILL 6128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Randall, Darneille, Dhingra, Frockt, Hasegawa, Hunt, Kuderer, Lovelett, Salomon, Stanford, Van De Wege, Nguyen, and Wilson, C.</w:t>
      </w:r>
    </w:p>
    <w:p/>
    <w:p>
      <w:r>
        <w:rPr>
          <w:t xml:space="preserve">Prefiled 01/02/20.</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a new section to chapter 74.09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medicaid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medicaid coverage from sixty days to twelve months postpartum.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shall provide medical assistance to postpartum persons who reside in Washington state, have countable income equal to or below one hundred ninety-three percent of the federal poverty level, and are not otherwise eligible under Title XIX of the federal social security act. Medical assistance under this section must be provided during the twelve-month period beginning on the last day of the pregnancy. To ensure continuity of care and maximize the efficiency of the program, the amount and scope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(2) In administering this program, the authority shall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shall submit a waiver request to the federal centers for medicare and medicaid services to allow for the state to receive federal match for the coverage of postpartum persons identified in section 2 of this act. The authority shall provide coverage to all eligible postpartum persons identified under section 2 of this act regardless of federal approval of the waiver request. The authority shall report to the legislature on the status of the waiver request by December 1, 2020, and inform the legislature of any statutory changes necessary to allow the state to receive federal match for the coverage of postpartum persons identified in section 2 of this act.</w:t>
      </w:r>
    </w:p>
    <w:p/>
    <w:p>
      <w:pPr>
        <w:jc w:val="center"/>
      </w:pPr>
      <w:r>
        <w:rPr>
          <w:b/>
        </w:rPr>
        <w:t>--- END ---</w:t>
      </w:r>
    </w:p>
    <w:sectPr>
      <w:pgNumType w:start="1"/>
      <w:footerReference xmlns:r="http://schemas.openxmlformats.org/officeDocument/2006/relationships" r:id="Racc0985ace49480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d5df3c9c14fba" /><Relationship Type="http://schemas.openxmlformats.org/officeDocument/2006/relationships/footer" Target="/word/footer1.xml" Id="Racc0985ace494809" /></Relationships>
</file>