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ddb3491c5c488e" /></Relationships>
</file>

<file path=word/document.xml><?xml version="1.0" encoding="utf-8"?>
<w:document xmlns:w="http://schemas.openxmlformats.org/wordprocessingml/2006/main">
  <w:body>
    <w:p>
      <w:r>
        <w:t>S-5246.1</w:t>
      </w:r>
    </w:p>
    <w:p>
      <w:pPr>
        <w:jc w:val="center"/>
      </w:pPr>
      <w:r>
        <w:t>_______________________________________________</w:t>
      </w:r>
    </w:p>
    <w:p/>
    <w:p>
      <w:pPr>
        <w:jc w:val="center"/>
      </w:pPr>
      <w:r>
        <w:rPr>
          <w:b/>
        </w:rPr>
        <w:t>SUBSTITUTE SENATE BILL 6137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Senators Mullet, Becker, Conway, Warnick, King, Brown, Padden, Schoesler, Short, and Zeiger)</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reauthorizing the business and occupation tax deduction for cooperative finance organizations;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2020 (section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business and occupation tax rates.</w:t>
      </w:r>
    </w:p>
    <w:p>
      <w:pPr>
        <w:spacing w:before="0" w:after="0" w:line="408" w:lineRule="exact"/>
        <w:ind w:left="0" w:right="0" w:firstLine="576"/>
        <w:jc w:val="left"/>
      </w:pPr>
      <w:r>
        <w:rPr/>
        <w:t xml:space="preserve">(4) If a review finds that at least one cooperative finance organization in this state used the deduction, then the legislature intends to extend the expiration date of this tax deduction.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rPr/>
        <w:t xml:space="preserve">(3)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202f55e6baf247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17d8babea4a0b" /><Relationship Type="http://schemas.openxmlformats.org/officeDocument/2006/relationships/footer" Target="/word/footer1.xml" Id="R202f55e6baf24728" /></Relationships>
</file>