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482652a6443b6" /></Relationships>
</file>

<file path=word/document.xml><?xml version="1.0" encoding="utf-8"?>
<w:document xmlns:w="http://schemas.openxmlformats.org/wordprocessingml/2006/main">
  <w:body>
    <w:p>
      <w:r>
        <w:t>Z-0812.1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Liias, Randall, Dhingra, Hasegawa, Mullet, Nguyen, Stanford, Carlyle, and Wilson, C.; by request of Lieutenant Governor</w:t>
      </w:r>
    </w:p>
    <w:p/>
    <w:p>
      <w:r>
        <w:rPr>
          <w:t xml:space="preserve">Prefiled 01/07/20.</w:t>
        </w:rPr>
      </w:r>
      <w:r>
        <w:rPr>
          <w:t xml:space="preserve">Read first time 01/13/20.  </w:t>
        </w:rPr>
      </w:r>
      <w:r>
        <w:rPr>
          <w:t xml:space="preserve">Referred to Committee on Higher Education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Washington common application; adding a new section to chapter 28B.77 RCW;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77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student achievement council shall develop a common application for admission to Washington's public colleges and universities. In creating the common application, the student achievement council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Consult with the public colleges and universities in determining the required elements of a common application;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an online application tool through which prospective postsecondary students can apply to the public colleges and universities;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Establish a uniform college application fee which may be adjusted annually;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Consult with the public colleges and universities to develop a common application fee waiver process through the common application for low-income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The Washington student achievement council must develop a common application fee waiver policy for eligible prospective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 purposes of this section, eligible prospective students are those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Are a resident student of the state of Washington in accordance with RCW 28B.15.012(2) (a) through (e);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Apply for acceptance as an undergraduate student at an institution of higher education through the common application and have not yet earned a bachelor's degree or its equivalent;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Demonstrate financial need under RCW 28B.92.205.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Institutions of higher education must accept the common application for postsecondary admission as created under section 1 of this act. Institutions of higher education may require additional supplemental materials as part of the common application process.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Institutions of higher education may not charge additional fees beyond the uniform college application fee created under section 1 of this act for review of the common application or consider the receipt of application fee waivers through the common application as part of the admissions process.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56d9628bc74fb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0f010acc4493f" /><Relationship Type="http://schemas.openxmlformats.org/officeDocument/2006/relationships/footer" Target="/word/footer1.xml" Id="R2a56d9628bc74fb5" /></Relationships>
</file>