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fe69b650146af" /></Relationships>
</file>

<file path=word/document.xml><?xml version="1.0" encoding="utf-8"?>
<w:document xmlns:w="http://schemas.openxmlformats.org/wordprocessingml/2006/main">
  <w:body>
    <w:p>
      <w:r>
        <w:t>S-5790.1</w:t>
      </w:r>
    </w:p>
    <w:p>
      <w:pPr>
        <w:jc w:val="center"/>
      </w:pPr>
      <w:r>
        <w:t>_______________________________________________</w:t>
      </w:r>
    </w:p>
    <w:p/>
    <w:p>
      <w:pPr>
        <w:jc w:val="center"/>
      </w:pPr>
      <w:r>
        <w:rPr>
          <w:b/>
        </w:rPr>
        <w:t>SUBSTITUTE SENATE BILL 6152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Salomon, Billig, Hunt, Nguyen, McCoy, Lovelett, Kuderer, Rolfes, Liias, Van De Wege, Das,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concerning the level of foreign national ownership and control of entities that participate in Washington state elections; amending RCW 42.17A.005, 42.17A.240, 42.17A.250, and 42.17A.255;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upholding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whether they act as individuals or in association. The First Amendment protection does not apply to foreign nationals, who are forbidden under 52 U.S.C. Sec. 30121 from directly or indirectly making political contributions or financing so-called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that corporations that make political contributions must certify that they are not owned or controlled by foreign nationals. While the percentage of ownership or control does not represent the full extent of possible foreign influence, it does provide a clear standard in assisting candidates and political committees in identifying foreign influence.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includes:</w:t>
      </w:r>
    </w:p>
    <w:p>
      <w:pPr>
        <w:spacing w:before="0" w:after="0" w:line="408" w:lineRule="exact"/>
        <w:ind w:left="0" w:right="0" w:firstLine="576"/>
        <w:jc w:val="left"/>
      </w:pPr>
      <w:r>
        <w:rPr>
          <w:u w:val="single"/>
        </w:rPr>
        <w:t xml:space="preserve">(a) An individual who is not a citizen of the United States and who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limited liability corporation, or professional limited liability corporation; an association, corporation, organization, or other similar entity; or a combination of persons, organized under the laws of, or having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w:t>
      </w:r>
      <w:r>
        <w:rPr>
          <w:u w:val="single"/>
        </w:rPr>
        <w:t xml:space="preserve">, (5),</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certification from each entity making a contribution to the candidate, political committee, or incidental committee that the entity is not owned or controlled by fifty percent or more foreign nationals;</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certification from each entity making a contribution reportable under this section to the candidate or political committee that the entity is not owned or controlled by fifty percent or more foreign nationals;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certification of any entity making the expenditure that it is not owned or controlled by fifty percent or more foreign nationals;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
      <w:pPr>
        <w:jc w:val="center"/>
      </w:pPr>
      <w:r>
        <w:rPr>
          <w:b/>
        </w:rPr>
        <w:t>--- END ---</w:t>
      </w:r>
    </w:p>
    <w:sectPr>
      <w:pgNumType w:start="1"/>
      <w:footerReference xmlns:r="http://schemas.openxmlformats.org/officeDocument/2006/relationships" r:id="R67ea10ce60b4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6711288fa4f19" /><Relationship Type="http://schemas.openxmlformats.org/officeDocument/2006/relationships/footer" Target="/word/footer1.xml" Id="R67ea10ce60b44248" /></Relationships>
</file>