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2435325640438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6213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Das, Carlyle, Van De Wege, Dhingra, Kuderer, Lovelett, Nguyen, Billig, Rolfes, Saldaña, Darneille, Hasegawa, Liias, Keiser, Pedersen, Stanford, Frockt, Wellman,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expanded polystyrene products; reenacting and amending RCW 43.21B.110 and 43.21B.110;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w:t>
      </w:r>
    </w:p>
    <w:p>
      <w:pPr>
        <w:spacing w:before="0" w:after="0" w:line="408" w:lineRule="exact"/>
        <w:ind w:left="0" w:right="0" w:firstLine="576"/>
        <w:jc w:val="left"/>
      </w:pPr>
      <w:r>
        <w:rPr/>
        <w:t xml:space="preserve">(a) Recycling development center established in chapter 70.370 RCW was created to facilitate the development of markets for recycled products and to assist businesses with transforming or remanufacturing waste materials into usable and marketable materials or products; and</w:t>
      </w:r>
    </w:p>
    <w:p>
      <w:pPr>
        <w:spacing w:before="0" w:after="0" w:line="408" w:lineRule="exact"/>
        <w:ind w:left="0" w:right="0" w:firstLine="576"/>
        <w:jc w:val="left"/>
      </w:pPr>
      <w:r>
        <w:rPr/>
        <w:t xml:space="preserve">(b) Evaluation and assessment of plastic packaging sold into the state as required under chapter 70.380 RCW will provide options for reducing plastic packaging.</w:t>
      </w:r>
    </w:p>
    <w:p>
      <w:pPr>
        <w:spacing w:before="0" w:after="0" w:line="408" w:lineRule="exact"/>
        <w:ind w:left="0" w:right="0" w:firstLine="576"/>
        <w:jc w:val="left"/>
      </w:pPr>
      <w:r>
        <w:rPr/>
        <w:t xml:space="preserve">(2) It is the intent of the legislature to: Prohibit all expanded polystyrene products in coordination with the efforts of the recycling development center and information provided through the evaluation and assessment of plastic packaging; and address through the recycling development center how to assist existing businesses that employ vulnerable populations in the transition from processing expanded polystyrene products to processing other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"Covered product" means the following products made of expanded polystyrene:</w:t>
      </w:r>
    </w:p>
    <w:p>
      <w:pPr>
        <w:spacing w:before="0" w:after="0" w:line="408" w:lineRule="exact"/>
        <w:ind w:left="0" w:right="0" w:firstLine="576"/>
        <w:jc w:val="left"/>
      </w:pPr>
      <w:r>
        <w:rPr/>
        <w:t xml:space="preserve">(i) A portable container used for cold storage, except for expanded polystyrene containers used for drugs, medical devices, and biological materials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(ii) Food service products that include food containers, plates, clamshell-style containers, and hot and cold beverage cups; and</w:t>
      </w:r>
    </w:p>
    <w:p>
      <w:pPr>
        <w:spacing w:before="0" w:after="0" w:line="408" w:lineRule="exact"/>
        <w:ind w:left="0" w:right="0" w:firstLine="576"/>
        <w:jc w:val="left"/>
      </w:pPr>
      <w:r>
        <w:rPr/>
        <w:t xml:space="preserve">(iii) Void filling packaging products, which means loose fill packaging material, also referred to as packing peanuts.</w:t>
      </w:r>
    </w:p>
    <w:p>
      <w:pPr>
        <w:spacing w:before="0" w:after="0" w:line="408" w:lineRule="exact"/>
        <w:ind w:left="0" w:right="0" w:firstLine="576"/>
        <w:jc w:val="left"/>
      </w:pPr>
      <w:r>
        <w:rPr/>
        <w:t xml:space="preserve">(b) "Covered product" does not include packaging for raw, uncooked, or butchered meat, fish, poultry, or seafood, vegetables, fruit, or egg cartons.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(4) "Manufacturer" includes any person, firm, association, partnership, corporation, governmental entity, organization, or joint venture that produces covered products or is an importer or domestic distributor of a product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June 1, 2023:</w:t>
      </w:r>
    </w:p>
    <w:p>
      <w:pPr>
        <w:spacing w:before="0" w:after="0" w:line="408" w:lineRule="exact"/>
        <w:ind w:left="0" w:right="0" w:firstLine="576"/>
        <w:jc w:val="left"/>
      </w:pPr>
      <w:r>
        <w:rPr/>
        <w:t xml:space="preserve">(1) The sale and distribution of covered products in or into the state is prohibited.</w:t>
      </w:r>
    </w:p>
    <w:p>
      <w:pPr>
        <w:spacing w:before="0" w:after="0" w:line="408" w:lineRule="exact"/>
        <w:ind w:left="0" w:right="0" w:firstLine="576"/>
        <w:jc w:val="left"/>
      </w:pPr>
      <w:r>
        <w:rPr/>
        <w:t xml:space="preserve">(2) Any void filling loose fill packaging materials sold or distributed into the state must be compostable.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Prepare and post on its web site information regarding the prohibitions on the sale and distribution of covered products. The department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(b) Provide technical assistance and guidance to manufacturers of covered products, as requested.</w:t>
      </w:r>
    </w:p>
    <w:p>
      <w:pPr>
        <w:spacing w:before="0" w:after="0" w:line="408" w:lineRule="exact"/>
        <w:ind w:left="0" w:right="0" w:firstLine="576"/>
        <w:jc w:val="left"/>
      </w:pPr>
      <w:r>
        <w:rPr/>
        <w:t xml:space="preserve">(c) Provide written notification and offer information and assistance to manufacturers and distributors that sell or offer to sell or distribute covered products who are in violation of this chapter. For the purposes of this section, written notification serves as notice of the violation. The department must issue at least two notices of violation by certified mail to a manufacturer or distributor prior to assessing a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June 1, 2023:</w:t>
      </w:r>
    </w:p>
    <w:p>
      <w:pPr>
        <w:spacing w:before="0" w:after="0" w:line="408" w:lineRule="exact"/>
        <w:ind w:left="0" w:right="0" w:firstLine="576"/>
        <w:jc w:val="left"/>
      </w:pPr>
      <w:r>
        <w:rPr/>
        <w:t xml:space="preserve">(1) A manufacturer of products in violation of this chapter is subject to a civil penalty not to exceed two hundred fifty dollars for each violation in the case of a first offense. Manufacturers that are repeat violators are subject to a civil penalty not to exceed one thousand dollars for each repeat offense. Penalties collected under this section must be deposited in the model toxics control operating account created in RCW 70.105D.190.</w:t>
      </w:r>
    </w:p>
    <w:p>
      <w:pPr>
        <w:spacing w:before="0" w:after="0" w:line="408" w:lineRule="exact"/>
        <w:ind w:left="0" w:right="0" w:firstLine="576"/>
        <w:jc w:val="left"/>
      </w:pPr>
      <w:r>
        <w:rPr/>
        <w:t xml:space="preserve">(2)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town, county, or municipal corporation may not implement a local ordinance restricting covered products unless the ordinance is filed by April 1, 2020, and enacted by June 1, 2020. An ordinance restricting covered products that was not enacted as of June 1, 2020, is preempted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June 30, 2021.</w:t>
      </w:r>
    </w:p>
    <w:p/>
    <w:p>
      <w:pPr>
        <w:jc w:val="center"/>
      </w:pPr>
      <w:r>
        <w:rPr>
          <w:b/>
        </w:rPr>
        <w:t>--- END ---</w:t>
      </w:r>
    </w:p>
    <w:sectPr>
      <w:pgNumType w:start="1"/>
      <w:footerReference xmlns:r="http://schemas.openxmlformats.org/officeDocument/2006/relationships" r:id="R9da046ace22f43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41cacb0f240a8" /><Relationship Type="http://schemas.openxmlformats.org/officeDocument/2006/relationships/footer" Target="/word/footer1.xml" Id="R9da046ace22f43c3" /></Relationships>
</file>