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dc5398719e4945" /></Relationships>
</file>

<file path=word/document.xml><?xml version="1.0" encoding="utf-8"?>
<w:document xmlns:w="http://schemas.openxmlformats.org/wordprocessingml/2006/main">
  <w:body>
    <w:p>
      <w:r>
        <w:t>S-5556.1</w:t>
      </w:r>
    </w:p>
    <w:p>
      <w:pPr>
        <w:jc w:val="center"/>
      </w:pPr>
      <w:r>
        <w:t>_______________________________________________</w:t>
      </w:r>
    </w:p>
    <w:p/>
    <w:p>
      <w:pPr>
        <w:jc w:val="center"/>
      </w:pPr>
      <w:r>
        <w:rPr>
          <w:b/>
        </w:rPr>
        <w:t>SUBSTITUTE SENATE BILL 6237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Kuderer, Darneille, Hunt, and Wilson, C.)</w:t>
      </w:r>
    </w:p>
    <w:p/>
    <w:p>
      <w:r>
        <w:rPr>
          <w:t xml:space="preserve">READ FIRST TIME 01/22/20.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and encouraging cities to notify the department of children, youth, and families of conditions at family day-care provider facilities that could cause harm to a child's health, welfare, or safety; and amending RCW 35A.63.215.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215</w:t>
      </w:r>
      <w:r>
        <w:rPr/>
        <w:t xml:space="preserve"> and 2018 c 58 s 24 are each amended to read as follows:</w:t>
      </w:r>
    </w:p>
    <w:p>
      <w:pPr>
        <w:spacing w:before="0" w:after="0" w:line="408" w:lineRule="exact"/>
        <w:ind w:left="0" w:right="0" w:firstLine="576"/>
        <w:jc w:val="left"/>
      </w:pPr>
      <w:r>
        <w:rPr/>
        <w:t xml:space="preserve">(1) Except as provided in subsections (2) and (3) of this section, no city may enact, enforce, or maintain an ordinance, development regulation, zoning regulation, or official control, policy, or administrative practice that prohibits the use of a residential dwelling, located in an area zoned for residential or commercial use, as a family day-care provider's home facility.</w:t>
      </w:r>
    </w:p>
    <w:p>
      <w:pPr>
        <w:spacing w:before="0" w:after="0" w:line="408" w:lineRule="exact"/>
        <w:ind w:left="0" w:right="0" w:firstLine="576"/>
        <w:jc w:val="left"/>
      </w:pPr>
      <w:r>
        <w:rPr/>
        <w:t xml:space="preserve">(2) A city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children, youth, and families licensor as providing a safe passenger loading area; (d) include signage, if any, that conforms to applicable regulations; and (e) limit hours of operations to facilitate neighborhood compatibility, while also providing appropriate opportunity for persons who use family day-care and who work a nonstandard work shift.</w:t>
      </w:r>
    </w:p>
    <w:p>
      <w:pPr>
        <w:spacing w:before="0" w:after="0" w:line="408" w:lineRule="exact"/>
        <w:ind w:left="0" w:right="0" w:firstLine="576"/>
        <w:jc w:val="left"/>
      </w:pPr>
      <w:r>
        <w:rPr/>
        <w:t xml:space="preserve">(3) A city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family day-care provider over licensing requirements, the licensor may provide a forum to resolve the dispute.</w:t>
      </w:r>
    </w:p>
    <w:p>
      <w:pPr>
        <w:spacing w:before="0" w:after="0" w:line="408" w:lineRule="exact"/>
        <w:ind w:left="0" w:right="0" w:firstLine="576"/>
        <w:jc w:val="left"/>
      </w:pPr>
      <w:r>
        <w:rPr/>
        <w:t xml:space="preserve">(4) </w:t>
      </w:r>
      <w:r>
        <w:rPr>
          <w:u w:val="single"/>
        </w:rPr>
        <w:t xml:space="preserve">Pursuant to this section, cities are authorized and strongly encouraged if they are made aware to notify the department of children, youth, and families when a family day-care provider becomes out of compliance with building, fire, safety, health code, or business licensing requirements when the violation may cause harm to a child's health, welfare, or safety.</w:t>
      </w:r>
    </w:p>
    <w:p>
      <w:pPr>
        <w:spacing w:before="0" w:after="0" w:line="408" w:lineRule="exact"/>
        <w:ind w:left="0" w:right="0" w:firstLine="576"/>
        <w:jc w:val="left"/>
      </w:pPr>
      <w:r>
        <w:rPr>
          <w:u w:val="single"/>
        </w:rPr>
        <w:t xml:space="preserve">(5)</w:t>
      </w:r>
      <w:r>
        <w:rPr/>
        <w:t xml:space="preserve"> Nothing in this section shall be construed to prohibit a city from imposing zoning conditions on the establishment and maintenance of a family day-care provider's home in an area zoned for residential or commercial use, so long as such conditions are no more restrictive than conditions imposed on other residential dwellings in the same zone and the establishment of such facilities is not precluded. As used in this section, "family day-care provider" is as defined in RCW 43.216.010.</w:t>
      </w:r>
    </w:p>
    <w:p/>
    <w:p>
      <w:pPr>
        <w:jc w:val="center"/>
      </w:pPr>
      <w:r>
        <w:rPr>
          <w:b/>
        </w:rPr>
        <w:t>--- END ---</w:t>
      </w:r>
    </w:p>
    <w:sectPr>
      <w:pgNumType w:start="1"/>
      <w:footerReference xmlns:r="http://schemas.openxmlformats.org/officeDocument/2006/relationships" r:id="R107d449da76946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7c494c0e814838" /><Relationship Type="http://schemas.openxmlformats.org/officeDocument/2006/relationships/footer" Target="/word/footer1.xml" Id="R107d449da7694687" /></Relationships>
</file>