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44aadae064c9b" /></Relationships>
</file>

<file path=word/document.xml><?xml version="1.0" encoding="utf-8"?>
<w:document xmlns:w="http://schemas.openxmlformats.org/wordprocessingml/2006/main">
  <w:body>
    <w:p>
      <w:r>
        <w:t>Z-0773.3</w:t>
      </w:r>
    </w:p>
    <w:p>
      <w:pPr>
        <w:jc w:val="center"/>
      </w:pPr>
      <w:r>
        <w:t>_______________________________________________</w:t>
      </w:r>
    </w:p>
    <w:p/>
    <w:p>
      <w:pPr>
        <w:jc w:val="center"/>
      </w:pPr>
      <w:r>
        <w:rPr>
          <w:b/>
        </w:rPr>
        <w:t>SENATE BILL 6248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and Honeyford;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making appropriations and authorizing expenditures for capital improvements; amending RCW 43.19.501; amending 2019 c 413 ss 1009, 1015, 1029, 1030, 1035, 1041, 1042, 1043, 1051, 1059, 1060, 1073, 1078, 1093, 2001, 2002, 2010, 2030, 2037, 2038, 2039, 2041, 2072, 2075, 2080, 2086, 2091, 2093, 2094, 2096, 2098, 3007, 3008, 3009, 3010, 3011, 3016, 3022, 3023, 3026, 3028, 3030, 3031, 3032, 3034, 3036, 3038, 3052, 3056, 3062, 3064, 3081, 3096, 3097, 3115, 3119, 3120, 3123, 3129, 3131, 3132, 3135, 3137, 3141, 3143, 3144, 3145, 3149, 3150, 3151, 3152, 3153, 3156, 3160, 3204, 3223, 3230, 3232, 3236, 3242, 3247, 3252, 3253, 3254, 3255, 3274, 3275, 3294, 5012, 5032, 5033, 5034, 5035, 5060, 5072, 5079, 5093, 5098, 5101, 7001, and 7002 (uncodified); adding new sections to 2019 c 413 (uncodified); creating a new section; making appropriations; repealing 2019 c 413 ss 3099 and 3296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in subsection (2) of this section, the</w:t>
      </w:r>
      <w:r>
        <w:rPr/>
        <w:t xml:space="preserve"> reappropriations are subject to the provisions of section 6005 </w:t>
      </w:r>
      <w:r>
        <w:t>((</w:t>
      </w:r>
      <w:r>
        <w:rPr>
          <w:strike/>
        </w:rPr>
        <w:t xml:space="preserve">of this act</w:t>
      </w:r>
      <w:r>
        <w:t>))</w:t>
      </w:r>
      <w:r>
        <w:rPr>
          <w:u w:val="single"/>
        </w:rPr>
        <w:t xml:space="preserve">, chapter 413, Laws of 2019</w:t>
      </w:r>
      <w:r>
        <w:rPr/>
        <w:t xml:space="preserve">.</w:t>
      </w:r>
    </w:p>
    <w:p>
      <w:pPr>
        <w:spacing w:before="0" w:after="0" w:line="408" w:lineRule="exact"/>
        <w:ind w:left="0" w:right="0" w:firstLine="576"/>
        <w:jc w:val="left"/>
      </w:pPr>
      <w:r>
        <w:rPr>
          <w:u w:val="single"/>
        </w:rPr>
        <w:t xml:space="preserve">(2) $1,000,000 of the Washington housing trust account</w:t>
      </w:r>
      <w:r>
        <w:rPr>
          <w:rFonts w:ascii="Times New Roman" w:hAnsi="Times New Roman"/>
          <w:u w:val="single"/>
        </w:rPr>
        <w:t xml:space="preserve">—</w:t>
      </w:r>
      <w:r>
        <w:rPr>
          <w:u w:val="single"/>
        </w:rPr>
        <w:t xml:space="preserve">state reappropriation from section 6005(1)(e), chapter 413, Laws of 2019 and $1,500,000 of the state taxable building construction account</w:t>
      </w:r>
      <w:r>
        <w:rPr>
          <w:rFonts w:ascii="Times New Roman" w:hAnsi="Times New Roman"/>
          <w:u w:val="single"/>
        </w:rPr>
        <w:t xml:space="preserve">—</w:t>
      </w:r>
      <w:r>
        <w:rPr>
          <w:u w:val="single"/>
        </w:rPr>
        <w:t xml:space="preserve">state reappropriation from section 6005(1)(e), chapter 413, Laws of 2019 are instead provided solely for the purchase of the two south annex properties. The state board for community and technical colleges must transfer the two south annex properties located at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two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w:t>
      </w:r>
      <w:r>
        <w:t>((</w:t>
      </w:r>
      <w:r>
        <w:rPr>
          <w:strike/>
        </w:rPr>
        <w:t xml:space="preserve">$45,950,000</w:t>
      </w:r>
      <w:r>
        <w:t>))</w:t>
      </w:r>
      <w:r>
        <w:rPr/>
        <w:t xml:space="preserve"> </w:t>
      </w:r>
      <w:r>
        <w:rPr>
          <w:u w:val="single"/>
        </w:rPr>
        <w:t xml:space="preserve">$46,950,000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$46,950,000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two south annex properties. The state board for community and technical colleges must transfer the two south annex properties located at 1534 Broadway and 909 East Pine street in Seattle to Capitol Hill Housing to provide services and housing for homeless youth or young adults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two properties. The contract between the department and Capitol Hill Housing must provide that Capitol Hill Housing will be responsible for maintaining and securing the property until it is developed. The contract must also specify that, if Capitol Hill Housing does not construct at least seventy affordable housing units on the site by 2028, this funding must be fully repaid to the state or the land must revert back to the state.</w:t>
      </w:r>
    </w:p>
    <w:p>
      <w:pPr>
        <w:spacing w:before="0" w:after="0" w:line="408" w:lineRule="exact"/>
        <w:ind w:left="0" w:right="0" w:firstLine="576"/>
        <w:jc w:val="left"/>
      </w:pPr>
      <w:r>
        <w:rPr>
          <w:u w:val="single"/>
        </w:rPr>
        <w:t xml:space="preserve">(h)</w:t>
      </w:r>
      <w:r>
        <w:rPr/>
        <w:t xml:space="preserve">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$46,950,000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spacing w:before="0" w:after="0" w:line="408" w:lineRule="exact"/>
        <w:ind w:left="0" w:right="0" w:firstLine="0"/>
        <w:jc w:val="left"/>
        <w:tabs>
          <w:tab w:val="right" w:leader="none" w:pos="9936"/>
        </w:tabs>
      </w:pPr>
      <w:r>
        <w:tab/>
      </w:r>
      <w:r>
        <w:rPr>
          <w:u w:val="single"/>
        </w:rPr>
        <w:t xml:space="preserve">$656,000,000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$118,920,000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$119,920,000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$479,920,000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$159,533,000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spacing w:before="0" w:after="0" w:line="408" w:lineRule="exact"/>
        <w:ind w:left="0" w:right="0" w:firstLine="0"/>
        <w:jc w:val="left"/>
        <w:tabs>
          <w:tab w:val="right" w:leader="none" w:pos="9936"/>
        </w:tabs>
      </w:pPr>
      <w:r>
        <w:tab/>
      </w:r>
      <w:r>
        <w:rPr>
          <w:u w:val="single"/>
        </w:rPr>
        <w:t xml:space="preserve">$159,533,000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New Shelter and Facility Improvements (40000138)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$19,251,000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$30,688,000</w:t>
      </w:r>
      <w:r>
        <w:t>))</w:t>
      </w:r>
    </w:p>
    <w:p>
      <w:pPr>
        <w:spacing w:before="0" w:after="0" w:line="408" w:lineRule="exact"/>
        <w:ind w:left="0" w:right="0" w:firstLine="0"/>
        <w:jc w:val="left"/>
        <w:tabs>
          <w:tab w:val="right" w:leader="none" w:pos="9936"/>
        </w:tabs>
      </w:pPr>
      <w:r>
        <w:tab/>
      </w:r>
      <w:r>
        <w:rPr>
          <w:u w:val="single"/>
        </w:rPr>
        <w:t xml:space="preserve">$29,194,000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$32,128,000</w:t>
      </w:r>
    </w:p>
    <w:p>
      <w:pPr>
        <w:tabs>
          <w:tab w:val="right" w:leader="none" w:pos="9936"/>
        </w:tabs>
        <w:ind w:left="0" w:right="0" w:firstLine="1440"/>
      </w:pPr>
      <w:r>
        <w:tab/>
      </w:r>
      <w:r>
        <w:rPr>
          <w:u w:val="single"/>
        </w:rPr>
        <w:t xml:space="preserve">$30,634,000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$2,449,000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1078</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$207,000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t>((</w:t>
      </w:r>
      <w:r>
        <w:rPr>
          <w:strike/>
        </w:rPr>
        <w:t xml:space="preserve">$3,532,000</w:t>
      </w:r>
      <w:r>
        <w:t>))</w:t>
      </w:r>
    </w:p>
    <w:p>
      <w:pPr>
        <w:spacing w:before="0" w:after="0" w:line="408" w:lineRule="exact"/>
        <w:ind w:left="0" w:right="0" w:firstLine="0"/>
        <w:jc w:val="left"/>
        <w:tabs>
          <w:tab w:val="right" w:leader="none" w:pos="9936"/>
        </w:tabs>
      </w:pPr>
      <w:r>
        <w:tab/>
      </w:r>
      <w:r>
        <w:rPr>
          <w:u w:val="single"/>
        </w:rPr>
        <w:t xml:space="preserve">$3,325,000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$368,000</w:t>
      </w:r>
      <w:r>
        <w:t>))</w:t>
      </w:r>
    </w:p>
    <w:p>
      <w:pPr>
        <w:spacing w:before="0" w:after="0" w:line="408" w:lineRule="exact"/>
        <w:ind w:left="0" w:right="0" w:firstLine="0"/>
        <w:jc w:val="left"/>
        <w:tabs>
          <w:tab w:val="right" w:leader="none" w:pos="9936"/>
        </w:tabs>
      </w:pPr>
      <w:r>
        <w:tab/>
      </w:r>
      <w:r>
        <w:rPr>
          <w:u w:val="single"/>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$3,900,000</w:t>
      </w:r>
    </w:p>
    <w:p>
      <w:pPr>
        <w:tabs>
          <w:tab w:val="right" w:leader="none" w:pos="9936"/>
        </w:tabs>
        <w:ind w:left="0" w:right="0" w:firstLine="1440"/>
      </w:pPr>
      <w:r>
        <w:tab/>
      </w:r>
      <w:r>
        <w:rPr>
          <w:u w:val="single"/>
        </w:rPr>
        <w:t xml:space="preserve">$3,586,000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the majority of future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McNeil Island - Main Dock: Float and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2012, chapter 298, Laws of 2018.</w:t>
      </w:r>
    </w:p>
    <w:p>
      <w:pPr>
        <w:spacing w:before="0" w:after="0" w:line="408" w:lineRule="exact"/>
        <w:ind w:left="0" w:right="0" w:firstLine="576"/>
        <w:jc w:val="left"/>
      </w:pPr>
      <w:r>
        <w:rPr>
          <w:u w:val="single"/>
        </w:rPr>
        <w:t xml:space="preserve">(2) The department shall work with the city of Shoreline on the future siting of a behavioral health facility and nursing facility.</w:t>
      </w:r>
    </w:p>
    <w:p>
      <w:pPr>
        <w:spacing w:before="0" w:after="0" w:line="408" w:lineRule="exact"/>
        <w:ind w:left="0" w:right="0" w:firstLine="576"/>
        <w:jc w:val="left"/>
      </w:pPr>
      <w:r>
        <w:rPr>
          <w:u w:val="single"/>
        </w:rPr>
        <w:t xml:space="preserve">(3) The department may enter into a lease with the city of Shoreline for open space and other uses to generate revenue for the benefit of the persons served by the Dan Thompson memorial trust account.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$12,185,000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2041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$2,700,000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$700,000</w:t>
      </w:r>
    </w:p>
    <w:p>
      <w:pPr>
        <w:tabs>
          <w:tab w:val="right" w:leader="dot" w:pos="9936"/>
        </w:tabs>
        <w:ind w:left="0" w:right="0" w:firstLine="1440"/>
      </w:pPr>
      <w:r>
        <w:rPr>
          <w:u w:val="single"/>
        </w:rPr>
        <w:t xml:space="preserve">Subtotal Appropriation</w:t>
      </w: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$2,025,000</w:t>
      </w:r>
      <w:r>
        <w:t>))</w:t>
      </w:r>
    </w:p>
    <w:p>
      <w:pPr>
        <w:spacing w:before="0" w:after="0" w:line="408" w:lineRule="exact"/>
        <w:ind w:left="0" w:right="0" w:firstLine="0"/>
        <w:jc w:val="left"/>
        <w:tabs>
          <w:tab w:val="right" w:leader="none" w:pos="9936"/>
        </w:tabs>
      </w:pP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Eagle Lodge: Medical, Dental &amp; Social Services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$5,721,000</w:t>
      </w:r>
      <w:r>
        <w:t>))</w:t>
      </w:r>
    </w:p>
    <w:p>
      <w:pPr>
        <w:spacing w:before="0" w:after="0" w:line="408" w:lineRule="exact"/>
        <w:ind w:left="0" w:right="0" w:firstLine="0"/>
        <w:jc w:val="left"/>
        <w:tabs>
          <w:tab w:val="right" w:leader="none" w:pos="9936"/>
        </w:tabs>
      </w:pPr>
      <w:r>
        <w:tab/>
      </w:r>
      <w:r>
        <w:rPr>
          <w:u w:val="single"/>
        </w:rPr>
        <w:t xml:space="preserve">$5,718,000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$5,996,000</w:t>
      </w:r>
    </w:p>
    <w:p>
      <w:pPr>
        <w:tabs>
          <w:tab w:val="right" w:leader="none" w:pos="9936"/>
        </w:tabs>
        <w:ind w:left="0" w:right="0" w:firstLine="1440"/>
      </w:pPr>
      <w:r>
        <w:tab/>
      </w:r>
      <w:r>
        <w:rPr>
          <w:u w:val="single"/>
        </w:rPr>
        <w:t xml:space="preserve">$5,993,000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$7,568,000</w:t>
      </w:r>
      <w:r>
        <w:t>))</w:t>
      </w:r>
    </w:p>
    <w:p>
      <w:pPr>
        <w:spacing w:before="0" w:after="0" w:line="408" w:lineRule="exact"/>
        <w:ind w:left="0" w:right="0" w:firstLine="0"/>
        <w:jc w:val="left"/>
        <w:tabs>
          <w:tab w:val="right" w:leader="none" w:pos="9936"/>
        </w:tabs>
      </w:pPr>
      <w:r>
        <w:tab/>
      </w:r>
      <w:r>
        <w:rPr>
          <w:u w:val="single"/>
        </w:rPr>
        <w:t xml:space="preserve">$7,534,000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$8,000,000</w:t>
      </w:r>
    </w:p>
    <w:p>
      <w:pPr>
        <w:tabs>
          <w:tab w:val="right" w:leader="none" w:pos="9936"/>
        </w:tabs>
        <w:ind w:left="0" w:right="0" w:firstLine="1440"/>
      </w:pPr>
      <w:r>
        <w:tab/>
      </w:r>
      <w:r>
        <w:rPr>
          <w:u w:val="single"/>
        </w:rPr>
        <w:t xml:space="preserve">$7,966,000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$23,700,000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chapter . . . (House or Senate Bill No. . . . (Z-0676/20 (Concerning the heating oil insurance program)), Laws of 2020.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$4,910,000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Revisions to the recreation and conservation funding board approved list of projects for the 2019-2021 biennium, including the addition of projects and the transfer of funds between projects, are allowed but must be submitted to the office of financial management and the appropriate fiscal committees of the legislature for review and comment, and must include an explanation of variances from the proposed projects. Any project revisions must be approved by the office of financial management before funds may be expended from this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$2,548,000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$7,522,000</w:t>
      </w:r>
    </w:p>
    <w:p>
      <w:pPr>
        <w:tabs>
          <w:tab w:val="right" w:leader="none" w:pos="9936"/>
        </w:tabs>
        <w:ind w:left="0" w:right="0" w:firstLine="1440"/>
      </w:pPr>
      <w:r>
        <w:tab/>
      </w:r>
      <w:r>
        <w:rPr>
          <w:u w:val="single"/>
        </w:rPr>
        <w:t xml:space="preserve">$7,377,000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$11,355,000</w:t>
      </w:r>
    </w:p>
    <w:p>
      <w:pPr>
        <w:tabs>
          <w:tab w:val="right" w:leader="dot" w:pos="9936"/>
        </w:tabs>
        <w:ind w:left="0" w:right="0" w:firstLine="1440"/>
      </w:pPr>
      <w:r>
        <w:rPr/>
        <w:t xml:space="preserve">TOTAL</w:t>
      </w:r>
      <w:r>
        <w:tab/>
      </w:r>
      <w:r>
        <w:rPr/>
        <w:t xml:space="preserve">$11,505,000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$67,000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spacing w:before="0" w:after="0" w:line="408" w:lineRule="exact"/>
        <w:ind w:left="0" w:right="0" w:firstLine="0"/>
        <w:jc w:val="left"/>
        <w:tabs>
          <w:tab w:val="right" w:leader="none" w:pos="9936"/>
        </w:tabs>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$213,110,000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$1,095,971,000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$5,966,163,000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$9,500,000 of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w:t>
      </w:r>
    </w:p>
    <w:p>
      <w:pPr>
        <w:spacing w:before="0" w:after="0" w:line="408" w:lineRule="exact"/>
        <w:ind w:left="0" w:right="0" w:firstLine="576"/>
        <w:jc w:val="left"/>
      </w:pPr>
      <w:r>
        <w:rPr/>
        <w:t xml:space="preserve">(2) $500,000 of the appropriation is provided solely for grants to school districts to perform rapid visual screening assessments of school buildings constructed prior to 1997 and used for the instruction of students in kindergarten through twelfth grade. The collected assessment data must be entered into the office of the superintendent of public instruction's information and condition of schools data system.</w:t>
      </w:r>
    </w:p>
    <w:p>
      <w:pPr>
        <w:spacing w:before="0" w:after="0" w:line="408" w:lineRule="exact"/>
        <w:ind w:left="0" w:right="0" w:firstLine="576"/>
        <w:jc w:val="left"/>
      </w:pPr>
      <w:r>
        <w:rPr/>
        <w:t xml:space="preserve">(3) During the 2019-2021 fiscal biennium, if upon review of applications the superintendent of public instruction determines there are not adequate suitable projects under subsection (2) of this section, the superintendent of public instruction may use any remaining funds from subsection (2) of this section for seismic safety retrofit grants in subsection (1)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$3,283,000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w:t>
      </w:r>
      <w:r>
        <w:rPr>
          <w:u w:val="single"/>
        </w:rPr>
        <w:t xml:space="preserve">Department of social and health services: Enter into a financing contract for up to $118,000,000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(7)</w:t>
      </w:r>
      <w:r>
        <w:rPr/>
        <w:t xml:space="preserve">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(11)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The department of social and health services may enter into a long-term, revenue generating lease for up to seven acres of the fircrest residential habilitation center bounded by 15th Ave NE and NE 150th Street and B Street to benefit the charitable, educational, penal, and reformatory trust and support capital investment at the residential habilitation center. The department of social and health services and the department of natural resources must amend their lease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2239965068042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27a9342ca499c" /><Relationship Type="http://schemas.openxmlformats.org/officeDocument/2006/relationships/footer" Target="/word/footer1.xml" Id="R722399650680429b" /></Relationships>
</file>