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2e31484d240ac" /></Relationships>
</file>

<file path=word/document.xml><?xml version="1.0" encoding="utf-8"?>
<w:document xmlns:w="http://schemas.openxmlformats.org/wordprocessingml/2006/main">
  <w:body>
    <w:p>
      <w:r>
        <w:t>S-5157.2</w:t>
      </w:r>
    </w:p>
    <w:p>
      <w:pPr>
        <w:jc w:val="center"/>
      </w:pPr>
      <w:r>
        <w:t>_______________________________________________</w:t>
      </w:r>
    </w:p>
    <w:p/>
    <w:p>
      <w:pPr>
        <w:jc w:val="center"/>
      </w:pPr>
      <w:r>
        <w:rPr>
          <w:b/>
        </w:rPr>
        <w:t>SENATE BILL 6290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Short, Mullet, and Wilson, C.</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contributions to and eligibility for school employee benefit plans; and amending RCW 41.05.050 and 41.05.740.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(b)(i)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(d)(i) Beginning January 1, 2020, all school districts, represented employees of educational service districts, and charter schools shall commence participation in the school employees' benefits board program established under RCW 41.05.740. 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represented employees of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w:t>
      </w:r>
      <w:r>
        <w:t>((</w:t>
      </w:r>
      <w:r>
        <w:rPr>
          <w:strike/>
        </w:rPr>
        <w:t xml:space="preserve">, including school employees who have waived their coverage;</w:t>
      </w:r>
      <w:r>
        <w:t>))</w:t>
      </w:r>
      <w:r>
        <w:rPr>
          <w:u w:val="single"/>
        </w:rPr>
        <w:t xml:space="preserve">. For school employee benefits beginning July 1, 2021, for the 2021-22 school year,</w:t>
      </w:r>
      <w:r>
        <w:rPr/>
        <w:t xml:space="preserve"> contributions to the authority are not required for individuals </w:t>
      </w:r>
      <w:r>
        <w:t>((</w:t>
      </w:r>
      <w:r>
        <w:rPr>
          <w:strike/>
        </w:rPr>
        <w:t xml:space="preserve">eligible for benefits under RCW 41.05.740(6)(e)</w:t>
      </w:r>
      <w:r>
        <w:t>))</w:t>
      </w:r>
      <w:r>
        <w:rPr/>
        <w:t xml:space="preserve"> who waive their coverage.</w:t>
      </w:r>
    </w:p>
    <w:p>
      <w:pPr>
        <w:spacing w:before="0" w:after="0" w:line="408" w:lineRule="exact"/>
        <w:ind w:left="0" w:right="0" w:firstLine="576"/>
        <w:jc w:val="left"/>
      </w:pPr>
      <w:r>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w:t>
      </w:r>
      <w:r>
        <w:rPr>
          <w:u w:val="single"/>
        </w:rPr>
        <w:t xml:space="preserve">Substitute employees and coaches are not eligible for benefits beginning with the 2021-22 school year through the school employees' benefits board.</w:t>
      </w:r>
    </w:p>
    <w:p>
      <w:pPr>
        <w:spacing w:before="0" w:after="0" w:line="408" w:lineRule="exact"/>
        <w:ind w:left="0" w:right="0" w:firstLine="576"/>
        <w:jc w:val="left"/>
      </w:pPr>
      <w:r>
        <w:rPr>
          <w:u w:val="single"/>
        </w:rPr>
        <w:t xml:space="preserve">(9)</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
      <w:pPr>
        <w:jc w:val="center"/>
      </w:pPr>
      <w:r>
        <w:rPr>
          <w:b/>
        </w:rPr>
        <w:t>--- END ---</w:t>
      </w:r>
    </w:p>
    <w:sectPr>
      <w:pgNumType w:start="1"/>
      <w:footerReference xmlns:r="http://schemas.openxmlformats.org/officeDocument/2006/relationships" r:id="Rd002197ceeb0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7762ffbd44f9d" /><Relationship Type="http://schemas.openxmlformats.org/officeDocument/2006/relationships/footer" Target="/word/footer1.xml" Id="Rd002197ceeb04daf" /></Relationships>
</file>