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c562f914c4346" /></Relationships>
</file>

<file path=word/document.xml><?xml version="1.0" encoding="utf-8"?>
<w:document xmlns:w="http://schemas.openxmlformats.org/wordprocessingml/2006/main">
  <w:body>
    <w:p>
      <w:r>
        <w:t>S-5320.1</w:t>
      </w:r>
    </w:p>
    <w:p>
      <w:pPr>
        <w:jc w:val="center"/>
      </w:pPr>
      <w:r>
        <w:t>_______________________________________________</w:t>
      </w:r>
    </w:p>
    <w:p/>
    <w:p>
      <w:pPr>
        <w:jc w:val="center"/>
      </w:pPr>
      <w:r>
        <w:rPr>
          <w:b/>
        </w:rPr>
        <w:t>SENATE BILL 6293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Kuderer, Lovelett, Wilson, C., Mullet, Randall, Keiser, Wellman, Das, and Nguyen</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liability for materially aiding domestic terrorism; adding a new section to chapter 4.24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Hate crime and domestic terrorism are a growing problem both in the state of Washington and in the United States. Sadly, since 2017, there has been a forty-two percent increase in the number of reported hate crimes in Washington compared to a seventeen percent increase in the country as a whole. Not only are the number of hate crimes increasing, but the severity is increasing as well.  The number of incidents that involve the use of a weapon is on the rise, as is the incidence of sustained injuries as a result of those hate crimes. </w:t>
      </w:r>
    </w:p>
    <w:p>
      <w:pPr>
        <w:spacing w:before="0" w:after="0" w:line="408" w:lineRule="exact"/>
        <w:ind w:left="0" w:right="0" w:firstLine="576"/>
        <w:jc w:val="left"/>
      </w:pPr>
      <w:r>
        <w:rPr/>
        <w:t xml:space="preserve">(b) Likewise we have seen an increase in the incidence of larger scale or coordinated attacks by extremists and extremist groups that can only be characterized as domestic terrorism.</w:t>
      </w:r>
    </w:p>
    <w:p>
      <w:pPr>
        <w:spacing w:before="0" w:after="0" w:line="408" w:lineRule="exact"/>
        <w:ind w:left="0" w:right="0" w:firstLine="576"/>
        <w:jc w:val="left"/>
      </w:pPr>
      <w:r>
        <w:rPr/>
        <w:t xml:space="preserve">(2) It is the legislature's intent to hold persons and entities accountable for materially aiding domestic terrorism.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who materially aids in domestic terrorism is liable to the victim of the domestic terrorism in a civil cause of action for actual damages, punitive damages of up to one hundred thousand dollars, and reasonable attorneys' fees and costs incurred in bringing the action.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"Domestic terrorism" means an act that is dangerous to human life, a violation of the criminal laws of this state, and intended to:</w:t>
      </w:r>
    </w:p>
    <w:p>
      <w:pPr>
        <w:spacing w:before="0" w:after="0" w:line="408" w:lineRule="exact"/>
        <w:ind w:left="0" w:right="0" w:firstLine="576"/>
        <w:jc w:val="left"/>
      </w:pPr>
      <w:r>
        <w:rPr/>
        <w:t xml:space="preserve">(i) Intimidate or coerce a civilian population;</w:t>
      </w:r>
    </w:p>
    <w:p>
      <w:pPr>
        <w:spacing w:before="0" w:after="0" w:line="408" w:lineRule="exact"/>
        <w:ind w:left="0" w:right="0" w:firstLine="576"/>
        <w:jc w:val="left"/>
      </w:pPr>
      <w:r>
        <w:rPr/>
        <w:t xml:space="preserve">(ii) Influence the policy of a government by intimidation or coercion; or</w:t>
      </w:r>
    </w:p>
    <w:p>
      <w:pPr>
        <w:spacing w:before="0" w:after="0" w:line="408" w:lineRule="exact"/>
        <w:ind w:left="0" w:right="0" w:firstLine="576"/>
        <w:jc w:val="left"/>
      </w:pPr>
      <w:r>
        <w:rPr/>
        <w:t xml:space="preserve">(iii) Affect the conduct of a government by mass destruction, assassination, or kidnapping.</w:t>
      </w:r>
    </w:p>
    <w:p>
      <w:pPr>
        <w:spacing w:before="0" w:after="0" w:line="408" w:lineRule="exact"/>
        <w:ind w:left="0" w:right="0" w:firstLine="576"/>
        <w:jc w:val="left"/>
      </w:pPr>
      <w:r>
        <w:rPr/>
        <w:t xml:space="preserve">(b) "Person" means an individual, corporation, business trust, estate, trust, partnership, association, joint venture, or other legal or commercial entity. The term does not include a government or governmental subdivision, agency, or instrumentality.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d1cd73b4a5045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1904614545466a" /><Relationship Type="http://schemas.openxmlformats.org/officeDocument/2006/relationships/footer" Target="/word/footer1.xml" Id="Red1cd73b4a5045e5" /></Relationships>
</file>